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A21CCA">
      <w:pPr>
        <w:pStyle w:val="2"/>
        <w:spacing w:line="244" w:lineRule="auto"/>
      </w:pPr>
    </w:p>
    <w:p w14:paraId="5C0A5C44">
      <w:pPr>
        <w:pStyle w:val="2"/>
        <w:spacing w:line="244" w:lineRule="auto"/>
      </w:pPr>
    </w:p>
    <w:p w14:paraId="5AD10890">
      <w:pPr>
        <w:pStyle w:val="2"/>
        <w:spacing w:line="244" w:lineRule="auto"/>
      </w:pPr>
    </w:p>
    <w:p w14:paraId="7332D645">
      <w:pPr>
        <w:pStyle w:val="2"/>
        <w:spacing w:line="244" w:lineRule="auto"/>
      </w:pPr>
    </w:p>
    <w:p w14:paraId="09BAE418">
      <w:pPr>
        <w:pStyle w:val="2"/>
        <w:spacing w:line="244" w:lineRule="auto"/>
      </w:pPr>
    </w:p>
    <w:p w14:paraId="1CCD5F0E">
      <w:pPr>
        <w:pStyle w:val="2"/>
        <w:spacing w:line="244" w:lineRule="auto"/>
      </w:pPr>
    </w:p>
    <w:p w14:paraId="2FAD279A">
      <w:pPr>
        <w:pStyle w:val="2"/>
        <w:spacing w:line="244" w:lineRule="auto"/>
      </w:pPr>
    </w:p>
    <w:p w14:paraId="6261B6B4">
      <w:pPr>
        <w:pStyle w:val="2"/>
        <w:spacing w:line="244" w:lineRule="auto"/>
      </w:pPr>
    </w:p>
    <w:p w14:paraId="4ABD07AC">
      <w:pPr>
        <w:pStyle w:val="2"/>
        <w:spacing w:line="244" w:lineRule="auto"/>
      </w:pPr>
    </w:p>
    <w:p w14:paraId="1DDD64A8">
      <w:pPr>
        <w:pStyle w:val="2"/>
        <w:spacing w:line="244" w:lineRule="auto"/>
      </w:pPr>
    </w:p>
    <w:p w14:paraId="1439A8D8">
      <w:pPr>
        <w:pStyle w:val="2"/>
        <w:spacing w:line="244" w:lineRule="auto"/>
      </w:pPr>
    </w:p>
    <w:p w14:paraId="41BAF396">
      <w:pPr>
        <w:pStyle w:val="2"/>
        <w:spacing w:line="244" w:lineRule="auto"/>
      </w:pPr>
    </w:p>
    <w:p w14:paraId="38B67FC5">
      <w:pPr>
        <w:pStyle w:val="2"/>
        <w:spacing w:line="244" w:lineRule="auto"/>
      </w:pPr>
    </w:p>
    <w:p w14:paraId="54BA93B7">
      <w:pPr>
        <w:pStyle w:val="2"/>
        <w:spacing w:line="244" w:lineRule="auto"/>
      </w:pPr>
    </w:p>
    <w:p w14:paraId="41754497">
      <w:pPr>
        <w:pStyle w:val="2"/>
        <w:spacing w:line="244" w:lineRule="auto"/>
      </w:pPr>
    </w:p>
    <w:p w14:paraId="5C46F0FE">
      <w:pPr>
        <w:pStyle w:val="2"/>
        <w:spacing w:line="245" w:lineRule="auto"/>
      </w:pPr>
    </w:p>
    <w:p w14:paraId="5155787F">
      <w:pPr>
        <w:pStyle w:val="2"/>
        <w:spacing w:line="245" w:lineRule="auto"/>
      </w:pPr>
    </w:p>
    <w:p w14:paraId="2840AD7A">
      <w:pPr>
        <w:pStyle w:val="2"/>
        <w:spacing w:line="245" w:lineRule="auto"/>
      </w:pPr>
    </w:p>
    <w:p w14:paraId="06CE8E3C">
      <w:pPr>
        <w:spacing w:before="156" w:line="219" w:lineRule="auto"/>
        <w:ind w:left="446"/>
        <w:jc w:val="center"/>
        <w:outlineLvl w:val="0"/>
        <w:rPr>
          <w:rFonts w:ascii="宋体" w:hAnsi="宋体" w:eastAsia="宋体" w:cs="宋体"/>
          <w:sz w:val="48"/>
          <w:szCs w:val="48"/>
        </w:rPr>
      </w:pPr>
      <w:r>
        <w:rPr>
          <w:rFonts w:ascii="宋体" w:hAnsi="宋体" w:eastAsia="宋体" w:cs="宋体"/>
          <w:b/>
          <w:bCs/>
          <w:spacing w:val="-42"/>
          <w:sz w:val="48"/>
          <w:szCs w:val="48"/>
        </w:rPr>
        <w:t>关于修订印发《包头市农牧业产业化经营</w:t>
      </w:r>
      <w:r>
        <w:rPr>
          <w:rFonts w:ascii="宋体" w:hAnsi="宋体" w:eastAsia="宋体" w:cs="宋体"/>
          <w:b/>
          <w:bCs/>
          <w:spacing w:val="-41"/>
          <w:sz w:val="48"/>
          <w:szCs w:val="48"/>
        </w:rPr>
        <w:t>重点龙头企业认定和运行监测管理办法》的通知</w:t>
      </w:r>
    </w:p>
    <w:p w14:paraId="3B6739B7">
      <w:pPr>
        <w:pStyle w:val="2"/>
        <w:spacing w:line="309" w:lineRule="auto"/>
      </w:pPr>
    </w:p>
    <w:p w14:paraId="17EA3B10">
      <w:pPr>
        <w:pStyle w:val="2"/>
        <w:spacing w:line="309" w:lineRule="auto"/>
      </w:pPr>
    </w:p>
    <w:p w14:paraId="40DBCAEE">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各旗县区农牧局、发改委、工信局、财政局、市场监督管理局、乡村振兴局、税务局、供销社，人民银行各旗县区支行：</w:t>
      </w:r>
    </w:p>
    <w:p w14:paraId="05C4FB4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进一步规范包头市农牧业产业化重点龙头企业认定和运行监测工作，加强对农牧业产业化重点龙头企业的服务与扶持，培育壮大农牧业产业化重点龙头企业，强化龙头企业与农牧民利益联结机制，增强辐射带动能力，推动全产业链建设，促进一二三产业融合发展，提升我市现代农牧业产业化发展水平，依据农业农村部等八部委联合颁发的《农业产业化国家重点龙头企业认定和运行监测管理办法》(农经发〔2018〕1号)、《内蒙古自治区人民政府关于支持农牧业产业化龙头企业发展的意见》(内政发〔2013〕28号)和《关于修订印发&lt;内蒙古自治区农牧业产业化重点龙头企业认定和运行监测管理办法&gt;的通知》(内农牧厅规〔2022〕3号)</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结合我市发展实际，包头市农牧局、包头市发展和改革委员会、包头市工业和信息化局、包头市财政局、包头市市场监督管理局、包头市乡村振兴局、国家税务总局包头市税务局、中国人民银行包头市分行、包头市供销合作社联合社9部门对《关于印发&lt;包头市农牧业产业化经营重点龙头企业认定管理办法&gt;的通知》(包农发〔2005〕125号)进行了修订。现将修订后的《包头市农牧业产业化经营重点龙头企业认定和运行 监测管理办法》印发给你们，请贯彻执行。</w:t>
      </w:r>
    </w:p>
    <w:p w14:paraId="5C0D6EEA">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方正仿宋_GBK" w:hAnsi="方正仿宋_GBK" w:eastAsia="方正仿宋_GBK" w:cs="方正仿宋_GBK"/>
          <w:sz w:val="32"/>
          <w:szCs w:val="32"/>
        </w:rPr>
      </w:pPr>
    </w:p>
    <w:p w14:paraId="7AD0B322">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default" w:ascii="FangSong" w:hAnsi="FangSong" w:eastAsia="FangSong" w:cs="FangSong"/>
          <w:spacing w:val="-4"/>
          <w:sz w:val="32"/>
          <w:szCs w:val="32"/>
          <w:lang w:val="en-US" w:eastAsia="zh-CN"/>
        </w:rPr>
      </w:pPr>
      <w:r>
        <w:rPr>
          <w:rFonts w:hint="eastAsia" w:ascii="方正仿宋_GBK" w:hAnsi="方正仿宋_GBK" w:eastAsia="方正仿宋_GBK" w:cs="方正仿宋_GBK"/>
          <w:sz w:val="32"/>
          <w:szCs w:val="32"/>
          <w:lang w:eastAsia="zh-CN"/>
        </w:rPr>
        <w:t>包</w:t>
      </w:r>
      <w:r>
        <w:rPr>
          <w:rFonts w:hint="eastAsia" w:ascii="FangSong" w:hAnsi="FangSong" w:eastAsia="FangSong" w:cs="FangSong"/>
          <w:spacing w:val="-4"/>
          <w:sz w:val="32"/>
          <w:szCs w:val="32"/>
          <w:lang w:eastAsia="zh-CN"/>
        </w:rPr>
        <w:t>头市农牧局</w:t>
      </w:r>
      <w:r>
        <w:rPr>
          <w:rFonts w:hint="eastAsia" w:ascii="FangSong" w:hAnsi="FangSong" w:eastAsia="FangSong" w:cs="FangSong"/>
          <w:spacing w:val="-4"/>
          <w:sz w:val="32"/>
          <w:szCs w:val="32"/>
          <w:lang w:val="en-US" w:eastAsia="zh-CN"/>
        </w:rPr>
        <w:t xml:space="preserve">                    包头市发展和改革委员会</w:t>
      </w:r>
    </w:p>
    <w:p w14:paraId="2593FFAF">
      <w:pPr>
        <w:pStyle w:val="2"/>
        <w:spacing w:line="244" w:lineRule="auto"/>
        <w:rPr>
          <w:rFonts w:hint="eastAsia" w:ascii="方正仿宋_GBK" w:hAnsi="方正仿宋_GBK" w:eastAsia="方正仿宋_GBK" w:cs="方正仿宋_GBK"/>
          <w:sz w:val="32"/>
          <w:szCs w:val="32"/>
        </w:rPr>
      </w:pPr>
    </w:p>
    <w:p w14:paraId="0A3C3494">
      <w:pPr>
        <w:pStyle w:val="2"/>
        <w:spacing w:line="244" w:lineRule="auto"/>
        <w:rPr>
          <w:rFonts w:hint="eastAsia" w:ascii="方正仿宋_GBK" w:hAnsi="方正仿宋_GBK" w:eastAsia="方正仿宋_GBK" w:cs="方正仿宋_GBK"/>
          <w:sz w:val="32"/>
          <w:szCs w:val="32"/>
        </w:rPr>
      </w:pPr>
    </w:p>
    <w:p w14:paraId="0FA8B4A9">
      <w:pPr>
        <w:pStyle w:val="2"/>
        <w:spacing w:line="244" w:lineRule="auto"/>
        <w:rPr>
          <w:rFonts w:hint="eastAsia" w:ascii="方正仿宋_GBK" w:hAnsi="方正仿宋_GBK" w:eastAsia="方正仿宋_GBK" w:cs="方正仿宋_GBK"/>
          <w:sz w:val="32"/>
          <w:szCs w:val="32"/>
        </w:rPr>
      </w:pPr>
    </w:p>
    <w:p w14:paraId="7A463877">
      <w:pPr>
        <w:pStyle w:val="2"/>
        <w:spacing w:line="244" w:lineRule="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包头市工业</w:t>
      </w:r>
      <w:r>
        <w:rPr>
          <w:rFonts w:hint="eastAsia" w:ascii="方正仿宋_GBK" w:hAnsi="方正仿宋_GBK" w:eastAsia="方正仿宋_GBK" w:cs="方正仿宋_GBK"/>
          <w:sz w:val="32"/>
          <w:szCs w:val="32"/>
          <w:lang w:eastAsia="zh-CN"/>
        </w:rPr>
        <w:t>和</w:t>
      </w:r>
      <w:r>
        <w:rPr>
          <w:rFonts w:hint="eastAsia" w:ascii="方正仿宋_GBK" w:hAnsi="方正仿宋_GBK" w:eastAsia="方正仿宋_GBK" w:cs="方正仿宋_GBK"/>
          <w:sz w:val="32"/>
          <w:szCs w:val="32"/>
        </w:rPr>
        <w:t>信息化局</w:t>
      </w:r>
      <w:r>
        <w:rPr>
          <w:rFonts w:hint="eastAsia" w:ascii="方正仿宋_GBK" w:hAnsi="方正仿宋_GBK" w:eastAsia="方正仿宋_GBK" w:cs="方正仿宋_GBK"/>
          <w:sz w:val="32"/>
          <w:szCs w:val="32"/>
          <w:lang w:val="en-US" w:eastAsia="zh-CN"/>
        </w:rPr>
        <w:t xml:space="preserve">                    包头市财政局</w:t>
      </w:r>
    </w:p>
    <w:p w14:paraId="54A5CEAE">
      <w:pPr>
        <w:pStyle w:val="2"/>
        <w:spacing w:line="244" w:lineRule="auto"/>
        <w:rPr>
          <w:rFonts w:hint="eastAsia" w:ascii="方正仿宋_GBK" w:hAnsi="方正仿宋_GBK" w:eastAsia="方正仿宋_GBK" w:cs="方正仿宋_GBK"/>
          <w:sz w:val="32"/>
          <w:szCs w:val="32"/>
        </w:rPr>
      </w:pPr>
    </w:p>
    <w:p w14:paraId="68940460">
      <w:pPr>
        <w:pStyle w:val="2"/>
        <w:spacing w:line="244" w:lineRule="auto"/>
        <w:rPr>
          <w:rFonts w:hint="eastAsia" w:ascii="方正仿宋_GBK" w:hAnsi="方正仿宋_GBK" w:eastAsia="方正仿宋_GBK" w:cs="方正仿宋_GBK"/>
          <w:sz w:val="32"/>
          <w:szCs w:val="32"/>
        </w:rPr>
      </w:pPr>
    </w:p>
    <w:p w14:paraId="0EE6BE5B">
      <w:pPr>
        <w:pStyle w:val="2"/>
        <w:spacing w:line="244" w:lineRule="auto"/>
        <w:rPr>
          <w:rFonts w:hint="eastAsia" w:ascii="方正仿宋_GBK" w:hAnsi="方正仿宋_GBK" w:eastAsia="方正仿宋_GBK" w:cs="方正仿宋_GBK"/>
          <w:sz w:val="32"/>
          <w:szCs w:val="32"/>
        </w:rPr>
      </w:pPr>
    </w:p>
    <w:p w14:paraId="551F3F9B">
      <w:pPr>
        <w:pStyle w:val="2"/>
        <w:spacing w:line="244" w:lineRule="auto"/>
        <w:rPr>
          <w:rFonts w:hint="eastAsia" w:ascii="方正仿宋_GBK" w:hAnsi="方正仿宋_GBK" w:eastAsia="方正仿宋_GBK" w:cs="方正仿宋_GBK"/>
          <w:sz w:val="32"/>
          <w:szCs w:val="32"/>
        </w:rPr>
      </w:pPr>
    </w:p>
    <w:p w14:paraId="16FC93CD">
      <w:pPr>
        <w:pStyle w:val="2"/>
        <w:spacing w:line="244" w:lineRule="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包头市市场监督管理局</w:t>
      </w:r>
      <w:r>
        <w:rPr>
          <w:rFonts w:hint="eastAsia" w:ascii="方正仿宋_GBK" w:hAnsi="方正仿宋_GBK" w:eastAsia="方正仿宋_GBK" w:cs="方正仿宋_GBK"/>
          <w:sz w:val="32"/>
          <w:szCs w:val="32"/>
          <w:lang w:val="en-US" w:eastAsia="zh-CN"/>
        </w:rPr>
        <w:t xml:space="preserve">                包头市乡村振兴局</w:t>
      </w:r>
    </w:p>
    <w:p w14:paraId="4A2D0086">
      <w:pPr>
        <w:pStyle w:val="2"/>
        <w:spacing w:line="244" w:lineRule="auto"/>
        <w:rPr>
          <w:rFonts w:hint="eastAsia" w:ascii="方正仿宋_GBK" w:hAnsi="方正仿宋_GBK" w:eastAsia="方正仿宋_GBK" w:cs="方正仿宋_GBK"/>
          <w:sz w:val="32"/>
          <w:szCs w:val="32"/>
        </w:rPr>
      </w:pPr>
    </w:p>
    <w:p w14:paraId="3746F876">
      <w:pPr>
        <w:pStyle w:val="2"/>
        <w:spacing w:line="244" w:lineRule="auto"/>
        <w:rPr>
          <w:rFonts w:hint="eastAsia" w:ascii="方正仿宋_GBK" w:hAnsi="方正仿宋_GBK" w:eastAsia="方正仿宋_GBK" w:cs="方正仿宋_GBK"/>
          <w:sz w:val="32"/>
          <w:szCs w:val="32"/>
        </w:rPr>
      </w:pPr>
    </w:p>
    <w:p w14:paraId="49B1357F">
      <w:pPr>
        <w:pStyle w:val="2"/>
        <w:spacing w:line="244" w:lineRule="auto"/>
        <w:rPr>
          <w:rFonts w:hint="eastAsia" w:ascii="方正仿宋_GBK" w:hAnsi="方正仿宋_GBK" w:eastAsia="方正仿宋_GBK" w:cs="方正仿宋_GBK"/>
          <w:sz w:val="32"/>
          <w:szCs w:val="32"/>
        </w:rPr>
      </w:pPr>
    </w:p>
    <w:p w14:paraId="78C298E1">
      <w:pPr>
        <w:pStyle w:val="2"/>
        <w:spacing w:line="244" w:lineRule="auto"/>
        <w:rPr>
          <w:rFonts w:hint="eastAsia" w:ascii="方正仿宋_GBK" w:hAnsi="方正仿宋_GBK" w:eastAsia="方正仿宋_GBK" w:cs="方正仿宋_GBK"/>
          <w:sz w:val="32"/>
          <w:szCs w:val="32"/>
        </w:rPr>
      </w:pPr>
    </w:p>
    <w:p w14:paraId="78DB5B15">
      <w:pPr>
        <w:pStyle w:val="2"/>
        <w:spacing w:line="244" w:lineRule="auto"/>
        <w:rPr>
          <w:rFonts w:hint="eastAsia" w:ascii="方正仿宋_GBK" w:hAnsi="方正仿宋_GBK" w:eastAsia="方正仿宋_GBK" w:cs="方正仿宋_GBK"/>
          <w:sz w:val="32"/>
          <w:szCs w:val="32"/>
        </w:rPr>
      </w:pPr>
    </w:p>
    <w:p w14:paraId="134EFF28">
      <w:pPr>
        <w:pStyle w:val="2"/>
        <w:spacing w:line="244" w:lineRule="auto"/>
        <w:rPr>
          <w:rFonts w:hint="eastAsia" w:ascii="方正仿宋_GBK" w:hAnsi="方正仿宋_GBK" w:eastAsia="方正仿宋_GBK" w:cs="方正仿宋_GBK"/>
          <w:sz w:val="32"/>
          <w:szCs w:val="32"/>
        </w:rPr>
      </w:pPr>
    </w:p>
    <w:p w14:paraId="7969DBC4">
      <w:pPr>
        <w:pStyle w:val="2"/>
        <w:spacing w:line="244" w:lineRule="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国家税务总局包头市税务局</w:t>
      </w:r>
      <w:r>
        <w:rPr>
          <w:rFonts w:hint="eastAsia" w:ascii="方正仿宋_GBK" w:hAnsi="方正仿宋_GBK" w:eastAsia="方正仿宋_GBK" w:cs="方正仿宋_GBK"/>
          <w:sz w:val="32"/>
          <w:szCs w:val="32"/>
          <w:lang w:val="en-US" w:eastAsia="zh-CN"/>
        </w:rPr>
        <w:t xml:space="preserve">      中国人民银行包头市分行</w:t>
      </w:r>
    </w:p>
    <w:p w14:paraId="5261D059">
      <w:pPr>
        <w:pStyle w:val="2"/>
        <w:spacing w:line="244" w:lineRule="auto"/>
        <w:rPr>
          <w:rFonts w:hint="eastAsia" w:ascii="方正仿宋_GBK" w:hAnsi="方正仿宋_GBK" w:eastAsia="方正仿宋_GBK" w:cs="方正仿宋_GBK"/>
          <w:sz w:val="32"/>
          <w:szCs w:val="32"/>
          <w:lang w:val="en-US" w:eastAsia="zh-CN"/>
        </w:rPr>
      </w:pPr>
    </w:p>
    <w:p w14:paraId="2342CEEB">
      <w:pPr>
        <w:pStyle w:val="2"/>
        <w:spacing w:line="244" w:lineRule="auto"/>
        <w:rPr>
          <w:rFonts w:hint="eastAsia" w:ascii="方正仿宋_GBK" w:hAnsi="方正仿宋_GBK" w:eastAsia="方正仿宋_GBK" w:cs="方正仿宋_GBK"/>
          <w:sz w:val="32"/>
          <w:szCs w:val="32"/>
          <w:lang w:val="en-US" w:eastAsia="zh-CN"/>
        </w:rPr>
      </w:pPr>
    </w:p>
    <w:p w14:paraId="7DE22267">
      <w:pPr>
        <w:pStyle w:val="2"/>
        <w:spacing w:line="244" w:lineRule="auto"/>
        <w:rPr>
          <w:rFonts w:hint="eastAsia" w:ascii="方正仿宋_GBK" w:hAnsi="方正仿宋_GBK" w:eastAsia="方正仿宋_GBK" w:cs="方正仿宋_GBK"/>
          <w:sz w:val="32"/>
          <w:szCs w:val="32"/>
          <w:lang w:val="en-US" w:eastAsia="zh-CN"/>
        </w:rPr>
      </w:pPr>
    </w:p>
    <w:p w14:paraId="73533F55">
      <w:pPr>
        <w:pStyle w:val="2"/>
        <w:spacing w:line="244" w:lineRule="auto"/>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包头市供销合作社联合社</w:t>
      </w:r>
    </w:p>
    <w:p w14:paraId="1F6A929C">
      <w:pPr>
        <w:pStyle w:val="2"/>
        <w:spacing w:line="244" w:lineRule="auto"/>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2023年10月18日</w:t>
      </w:r>
    </w:p>
    <w:p w14:paraId="6B9FE490">
      <w:pPr>
        <w:pStyle w:val="2"/>
        <w:spacing w:line="245" w:lineRule="auto"/>
      </w:pPr>
    </w:p>
    <w:p w14:paraId="4A1B852F">
      <w:pPr>
        <w:pStyle w:val="2"/>
        <w:spacing w:line="245" w:lineRule="auto"/>
      </w:pPr>
    </w:p>
    <w:p w14:paraId="3659BE5E">
      <w:pPr>
        <w:pStyle w:val="2"/>
        <w:spacing w:line="245" w:lineRule="auto"/>
      </w:pPr>
    </w:p>
    <w:p w14:paraId="578513EF">
      <w:pPr>
        <w:pStyle w:val="2"/>
        <w:spacing w:line="245" w:lineRule="auto"/>
      </w:pPr>
    </w:p>
    <w:p w14:paraId="7E7AE834">
      <w:pPr>
        <w:pStyle w:val="3"/>
      </w:pPr>
    </w:p>
    <w:p w14:paraId="44C13B72">
      <w:pPr>
        <w:pStyle w:val="3"/>
      </w:pPr>
    </w:p>
    <w:p w14:paraId="25B68DB0">
      <w:pPr>
        <w:pStyle w:val="3"/>
      </w:pPr>
    </w:p>
    <w:p w14:paraId="4DE4D8A8">
      <w:pPr>
        <w:pStyle w:val="3"/>
      </w:pPr>
    </w:p>
    <w:p w14:paraId="6497FAC6">
      <w:pPr>
        <w:pStyle w:val="3"/>
      </w:pPr>
    </w:p>
    <w:p w14:paraId="39484F19">
      <w:pPr>
        <w:pStyle w:val="3"/>
      </w:pPr>
    </w:p>
    <w:p w14:paraId="77A8443F">
      <w:pPr>
        <w:pStyle w:val="3"/>
      </w:pPr>
    </w:p>
    <w:p w14:paraId="1669B00F">
      <w:pPr>
        <w:pStyle w:val="3"/>
      </w:pPr>
    </w:p>
    <w:p w14:paraId="394869FD">
      <w:pPr>
        <w:pStyle w:val="3"/>
      </w:pPr>
    </w:p>
    <w:p w14:paraId="262B7FD1">
      <w:pPr>
        <w:pStyle w:val="3"/>
      </w:pPr>
    </w:p>
    <w:p w14:paraId="14D6EB10">
      <w:pPr>
        <w:pStyle w:val="3"/>
      </w:pPr>
    </w:p>
    <w:p w14:paraId="41E58329">
      <w:pPr>
        <w:pStyle w:val="3"/>
      </w:pPr>
    </w:p>
    <w:p w14:paraId="2D72102A">
      <w:pPr>
        <w:pStyle w:val="3"/>
      </w:pPr>
    </w:p>
    <w:p w14:paraId="29943E5A">
      <w:pPr>
        <w:pStyle w:val="3"/>
      </w:pPr>
      <w:bookmarkStart w:id="0" w:name="_GoBack"/>
      <w:bookmarkEnd w:id="0"/>
    </w:p>
    <w:p w14:paraId="1131F971">
      <w:pPr>
        <w:pStyle w:val="2"/>
        <w:spacing w:line="245" w:lineRule="auto"/>
      </w:pPr>
    </w:p>
    <w:p w14:paraId="23453B42">
      <w:pPr>
        <w:pStyle w:val="2"/>
        <w:spacing w:line="245" w:lineRule="auto"/>
      </w:pPr>
      <w:r>
        <w:pict>
          <v:shape id="_x0000_s1026" o:spid="_x0000_s1026" style="position:absolute;left:0pt;flip:y;margin-left:0.25pt;margin-top:8pt;height:6pt;width:412.3pt;z-index:251659264;mso-width-relative:page;mso-height-relative:page;" filled="f" stroked="t" coordsize="9240,10" path="m0,5l4499,5m4499,5l9239,5e">
            <v:path/>
            <v:fill on="f" focussize="0,0"/>
            <v:stroke weight="0.5pt" color="#000000" miterlimit="10" joinstyle="miter"/>
            <v:imagedata o:title=""/>
            <o:lock v:ext="edit" aspectratio="f"/>
          </v:shape>
        </w:pict>
      </w:r>
    </w:p>
    <w:p w14:paraId="2A229CC1">
      <w:pPr>
        <w:spacing w:before="107" w:line="219" w:lineRule="auto"/>
        <w:jc w:val="both"/>
        <w:rPr>
          <w:rFonts w:ascii="宋体" w:hAnsi="宋体" w:eastAsia="宋体" w:cs="宋体"/>
          <w:sz w:val="33"/>
          <w:szCs w:val="33"/>
        </w:rPr>
      </w:pPr>
      <w:r>
        <w:rPr>
          <w:rFonts w:hint="eastAsia" w:ascii="方正仿宋_GBK" w:hAnsi="方正仿宋_GBK" w:eastAsia="方正仿宋_GBK" w:cs="方正仿宋_GBK"/>
          <w:sz w:val="32"/>
          <w:szCs w:val="32"/>
        </w:rPr>
        <w:pict>
          <v:shape id="_x0000_s1027" o:spid="_x0000_s1027" style="position:absolute;left:0pt;flip:y;margin-left:0.25pt;margin-top:26.3pt;height:6pt;width:415pt;z-index:251660288;mso-width-relative:page;mso-height-relative:page;" filled="f" stroked="t" coordsize="9240,10" path="m0,5l4499,5m4499,5l9239,5e">
            <v:path/>
            <v:fill on="f" focussize="0,0"/>
            <v:stroke weight="0.5pt" color="#000000" miterlimit="10" joinstyle="miter"/>
            <v:imagedata o:title=""/>
            <o:lock v:ext="edit" aspectratio="f"/>
          </v:shape>
        </w:pict>
      </w:r>
      <w:r>
        <w:rPr>
          <w:rFonts w:hint="eastAsia" w:ascii="方正仿宋_GBK" w:hAnsi="方正仿宋_GBK" w:eastAsia="方正仿宋_GBK" w:cs="方正仿宋_GBK"/>
          <w:spacing w:val="1"/>
          <w:sz w:val="32"/>
          <w:szCs w:val="32"/>
        </w:rPr>
        <w:t>包头市农牧局办公室</w:t>
      </w:r>
      <w:r>
        <w:rPr>
          <w:rFonts w:hint="eastAsia" w:ascii="方正仿宋_GBK" w:hAnsi="方正仿宋_GBK" w:eastAsia="方正仿宋_GBK" w:cs="方正仿宋_GBK"/>
          <w:spacing w:val="7"/>
          <w:sz w:val="32"/>
          <w:szCs w:val="32"/>
        </w:rPr>
        <w:t xml:space="preserve">     </w:t>
      </w:r>
      <w:r>
        <w:rPr>
          <w:rFonts w:hint="eastAsia" w:ascii="方正仿宋_GBK" w:hAnsi="方正仿宋_GBK" w:eastAsia="方正仿宋_GBK" w:cs="方正仿宋_GBK"/>
          <w:spacing w:val="7"/>
          <w:sz w:val="32"/>
          <w:szCs w:val="32"/>
          <w:lang w:val="en-US" w:eastAsia="zh-CN"/>
        </w:rPr>
        <w:t xml:space="preserve">         </w:t>
      </w:r>
      <w:r>
        <w:rPr>
          <w:rFonts w:hint="eastAsia" w:ascii="方正仿宋_GBK" w:hAnsi="方正仿宋_GBK" w:eastAsia="方正仿宋_GBK" w:cs="方正仿宋_GBK"/>
          <w:spacing w:val="7"/>
          <w:sz w:val="32"/>
          <w:szCs w:val="32"/>
        </w:rPr>
        <w:t xml:space="preserve"> </w:t>
      </w:r>
      <w:r>
        <w:rPr>
          <w:rFonts w:hint="eastAsia" w:ascii="方正仿宋_GBK" w:hAnsi="方正仿宋_GBK" w:eastAsia="方正仿宋_GBK" w:cs="方正仿宋_GBK"/>
          <w:spacing w:val="1"/>
          <w:sz w:val="32"/>
          <w:szCs w:val="32"/>
        </w:rPr>
        <w:t>2023年10月18日印发</w:t>
      </w:r>
    </w:p>
    <w:p w14:paraId="4ED2A8C5">
      <w:pPr>
        <w:spacing w:line="219" w:lineRule="auto"/>
        <w:rPr>
          <w:rFonts w:ascii="宋体" w:hAnsi="宋体" w:eastAsia="宋体" w:cs="宋体"/>
          <w:sz w:val="33"/>
          <w:szCs w:val="33"/>
        </w:rPr>
        <w:sectPr>
          <w:pgSz w:w="11900" w:h="16820"/>
          <w:pgMar w:top="1440" w:right="1800" w:bottom="1440" w:left="1800" w:header="0" w:footer="0" w:gutter="0"/>
          <w:cols w:space="720" w:num="1"/>
        </w:sectPr>
      </w:pPr>
    </w:p>
    <w:p w14:paraId="72737C6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Calibri" w:hAnsi="Calibri" w:eastAsia="方正小标宋简体" w:cs="Times New Roman"/>
          <w:snapToGrid/>
          <w:kern w:val="2"/>
          <w:sz w:val="44"/>
          <w:szCs w:val="44"/>
          <w:lang w:eastAsia="zh-CN"/>
        </w:rPr>
      </w:pPr>
      <w:r>
        <w:rPr>
          <w:rFonts w:hint="eastAsia" w:ascii="方正小标宋简体" w:hAnsi="Calibri" w:eastAsia="方正小标宋简体" w:cs="Times New Roman"/>
          <w:b w:val="0"/>
          <w:bCs/>
          <w:snapToGrid/>
          <w:kern w:val="2"/>
          <w:sz w:val="44"/>
          <w:szCs w:val="44"/>
          <w:lang w:eastAsia="zh-CN"/>
        </w:rPr>
        <w:t>包头市农牧业产业化经营重点龙头企业认定和运行监测管理办法</w:t>
      </w:r>
    </w:p>
    <w:p w14:paraId="3DAC15D3">
      <w:pPr>
        <w:widowControl w:val="0"/>
        <w:kinsoku/>
        <w:autoSpaceDE/>
        <w:autoSpaceDN/>
        <w:adjustRightInd/>
        <w:snapToGrid/>
        <w:spacing w:line="240" w:lineRule="auto"/>
        <w:jc w:val="center"/>
        <w:textAlignment w:val="auto"/>
        <w:rPr>
          <w:rFonts w:hint="eastAsia" w:ascii="黑体" w:hAnsi="黑体" w:eastAsia="黑体" w:cs="Times New Roman"/>
          <w:snapToGrid/>
          <w:kern w:val="2"/>
          <w:sz w:val="24"/>
          <w:szCs w:val="24"/>
          <w:lang w:eastAsia="zh-CN"/>
        </w:rPr>
      </w:pPr>
    </w:p>
    <w:p w14:paraId="1F7830B0">
      <w:pPr>
        <w:widowControl w:val="0"/>
        <w:kinsoku/>
        <w:autoSpaceDE/>
        <w:autoSpaceDN/>
        <w:adjustRightInd/>
        <w:snapToGrid/>
        <w:spacing w:line="240" w:lineRule="auto"/>
        <w:jc w:val="center"/>
        <w:textAlignment w:val="auto"/>
        <w:rPr>
          <w:rFonts w:ascii="黑体" w:hAnsi="黑体" w:eastAsia="黑体" w:cs="Times New Roman"/>
          <w:snapToGrid/>
          <w:kern w:val="2"/>
          <w:sz w:val="32"/>
          <w:szCs w:val="32"/>
          <w:lang w:eastAsia="zh-CN"/>
        </w:rPr>
      </w:pPr>
      <w:r>
        <w:rPr>
          <w:rFonts w:hint="eastAsia" w:ascii="黑体" w:hAnsi="黑体" w:eastAsia="黑体" w:cs="Times New Roman"/>
          <w:snapToGrid/>
          <w:kern w:val="2"/>
          <w:sz w:val="32"/>
          <w:szCs w:val="32"/>
          <w:lang w:eastAsia="zh-CN"/>
        </w:rPr>
        <w:t>第一章  总    则</w:t>
      </w:r>
    </w:p>
    <w:p w14:paraId="75BEE801">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CESI仿宋-GB2312" w:hAnsi="CESI仿宋-GB2312" w:eastAsia="CESI仿宋-GB2312" w:cs="CESI仿宋-GB2312"/>
          <w:snapToGrid/>
          <w:kern w:val="2"/>
          <w:sz w:val="32"/>
          <w:szCs w:val="32"/>
          <w:highlight w:val="none"/>
          <w:lang w:eastAsia="zh-CN"/>
        </w:rPr>
      </w:pPr>
      <w:r>
        <w:rPr>
          <w:rFonts w:hint="eastAsia" w:ascii="楷体_GB2312" w:hAnsi="楷体_GB2312" w:eastAsia="楷体_GB2312" w:cs="楷体_GB2312"/>
          <w:b/>
          <w:snapToGrid/>
          <w:kern w:val="2"/>
          <w:sz w:val="32"/>
          <w:szCs w:val="32"/>
          <w:lang w:eastAsia="zh-CN"/>
        </w:rPr>
        <w:t xml:space="preserve">第一条 </w:t>
      </w:r>
      <w:r>
        <w:rPr>
          <w:rFonts w:hint="eastAsia" w:ascii="仿宋_GB2312" w:hAnsi="Calibri" w:eastAsia="仿宋_GB2312" w:cs="Times New Roman"/>
          <w:snapToGrid/>
          <w:kern w:val="2"/>
          <w:sz w:val="32"/>
          <w:szCs w:val="32"/>
          <w:lang w:eastAsia="zh-CN"/>
        </w:rPr>
        <w:t xml:space="preserve"> </w:t>
      </w:r>
      <w:r>
        <w:rPr>
          <w:rFonts w:hint="eastAsia" w:ascii="CESI仿宋-GB2312" w:hAnsi="CESI仿宋-GB2312" w:eastAsia="CESI仿宋-GB2312" w:cs="CESI仿宋-GB2312"/>
          <w:snapToGrid/>
          <w:kern w:val="2"/>
          <w:sz w:val="32"/>
          <w:szCs w:val="32"/>
          <w:lang w:eastAsia="zh-CN"/>
        </w:rPr>
        <w:t>根据农业农村部等八部委联合颁发的《农业产业化国家重点龙头企业认定和运行监测管理办法》（农经发〔2018〕1号）、《内蒙古自治区人民政</w:t>
      </w:r>
      <w:r>
        <w:rPr>
          <w:rFonts w:hint="eastAsia" w:ascii="CESI仿宋-GB2312" w:hAnsi="CESI仿宋-GB2312" w:eastAsia="CESI仿宋-GB2312" w:cs="CESI仿宋-GB2312"/>
          <w:snapToGrid/>
          <w:kern w:val="2"/>
          <w:sz w:val="32"/>
          <w:szCs w:val="32"/>
          <w:highlight w:val="none"/>
          <w:lang w:eastAsia="zh-CN"/>
        </w:rPr>
        <w:t>府关于支持农牧业产业化龙头企业发展的意见》（内政发〔2013〕28号）</w:t>
      </w:r>
      <w:r>
        <w:rPr>
          <w:rFonts w:hint="eastAsia" w:ascii="CESI仿宋-GB2312" w:hAnsi="CESI仿宋-GB2312" w:eastAsia="CESI仿宋-GB2312" w:cs="CESI仿宋-GB2312"/>
          <w:snapToGrid/>
          <w:kern w:val="2"/>
          <w:sz w:val="32"/>
          <w:szCs w:val="32"/>
          <w:lang w:eastAsia="zh-CN"/>
        </w:rPr>
        <w:t>和《关于修订印发&lt;内蒙古自治区农牧业产业化重点龙头企业认定和运行监测管理办法&gt;的通知》（内农牧厅规〔</w:t>
      </w:r>
      <w:r>
        <w:rPr>
          <w:rFonts w:hint="eastAsia" w:ascii="CESI仿宋-GB2312" w:hAnsi="CESI仿宋-GB2312" w:eastAsia="CESI仿宋-GB2312" w:cs="CESI仿宋-GB2312"/>
          <w:snapToGrid/>
          <w:kern w:val="2"/>
          <w:sz w:val="32"/>
          <w:szCs w:val="32"/>
          <w:lang w:val="en-US" w:eastAsia="zh-CN"/>
        </w:rPr>
        <w:t>2022</w:t>
      </w:r>
      <w:r>
        <w:rPr>
          <w:rFonts w:hint="eastAsia" w:ascii="CESI仿宋-GB2312" w:hAnsi="CESI仿宋-GB2312" w:eastAsia="CESI仿宋-GB2312" w:cs="CESI仿宋-GB2312"/>
          <w:snapToGrid/>
          <w:kern w:val="2"/>
          <w:sz w:val="32"/>
          <w:szCs w:val="32"/>
          <w:lang w:eastAsia="zh-CN"/>
        </w:rPr>
        <w:t>〕</w:t>
      </w:r>
      <w:r>
        <w:rPr>
          <w:rFonts w:hint="eastAsia" w:ascii="CESI仿宋-GB2312" w:hAnsi="CESI仿宋-GB2312" w:eastAsia="CESI仿宋-GB2312" w:cs="CESI仿宋-GB2312"/>
          <w:snapToGrid/>
          <w:kern w:val="2"/>
          <w:sz w:val="32"/>
          <w:szCs w:val="32"/>
          <w:lang w:val="en-US" w:eastAsia="zh-CN"/>
        </w:rPr>
        <w:t>3号</w:t>
      </w:r>
      <w:r>
        <w:rPr>
          <w:rFonts w:hint="eastAsia" w:ascii="CESI仿宋-GB2312" w:hAnsi="CESI仿宋-GB2312" w:eastAsia="CESI仿宋-GB2312" w:cs="CESI仿宋-GB2312"/>
          <w:snapToGrid/>
          <w:kern w:val="2"/>
          <w:sz w:val="32"/>
          <w:szCs w:val="32"/>
          <w:lang w:eastAsia="zh-CN"/>
        </w:rPr>
        <w:t>），</w:t>
      </w:r>
      <w:r>
        <w:rPr>
          <w:rFonts w:hint="eastAsia" w:ascii="CESI仿宋-GB2312" w:hAnsi="CESI仿宋-GB2312" w:eastAsia="CESI仿宋-GB2312" w:cs="CESI仿宋-GB2312"/>
          <w:snapToGrid/>
          <w:kern w:val="2"/>
          <w:sz w:val="32"/>
          <w:szCs w:val="32"/>
          <w:highlight w:val="none"/>
          <w:lang w:eastAsia="zh-CN"/>
        </w:rPr>
        <w:t>为进一步规范包头市农牧业产业化重点龙头企业认定和运行监测工作，加强对农牧业产业化重点龙头企业的服务与扶持，培育壮大农牧业产业化重点龙头企业，强化龙头企业与农牧民利益联结机制，增强辐射带动能力，推动全产业链建设，促进一二三产业融合发展，提升我市现代农牧业产业化发展水平，特制定本办法。</w:t>
      </w:r>
    </w:p>
    <w:p w14:paraId="0C9F4632">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napToGrid/>
          <w:kern w:val="2"/>
          <w:sz w:val="32"/>
          <w:szCs w:val="32"/>
          <w:lang w:eastAsia="zh-CN"/>
        </w:rPr>
      </w:pPr>
      <w:r>
        <w:rPr>
          <w:rFonts w:hint="eastAsia" w:ascii="仿宋_GB2312" w:hAnsi="Calibri" w:eastAsia="仿宋_GB2312" w:cs="Times New Roman"/>
          <w:snapToGrid/>
          <w:kern w:val="2"/>
          <w:sz w:val="32"/>
          <w:szCs w:val="32"/>
          <w:highlight w:val="none"/>
          <w:lang w:eastAsia="zh-CN"/>
        </w:rPr>
        <w:t xml:space="preserve">    </w:t>
      </w:r>
      <w:r>
        <w:rPr>
          <w:rFonts w:hint="eastAsia" w:ascii="楷体_GB2312" w:hAnsi="楷体_GB2312" w:eastAsia="楷体_GB2312" w:cs="楷体_GB2312"/>
          <w:b/>
          <w:snapToGrid/>
          <w:kern w:val="2"/>
          <w:sz w:val="32"/>
          <w:szCs w:val="32"/>
          <w:lang w:eastAsia="zh-CN"/>
        </w:rPr>
        <w:t xml:space="preserve">第二条 </w:t>
      </w:r>
      <w:r>
        <w:rPr>
          <w:rFonts w:hint="eastAsia" w:ascii="仿宋_GB2312" w:hAnsi="Calibri" w:eastAsia="仿宋_GB2312" w:cs="Times New Roman"/>
          <w:snapToGrid/>
          <w:kern w:val="2"/>
          <w:sz w:val="32"/>
          <w:szCs w:val="32"/>
          <w:highlight w:val="none"/>
          <w:lang w:eastAsia="zh-CN"/>
        </w:rPr>
        <w:t xml:space="preserve"> </w:t>
      </w:r>
      <w:r>
        <w:rPr>
          <w:rFonts w:hint="eastAsia" w:ascii="CESI仿宋-GB2312" w:hAnsi="CESI仿宋-GB2312" w:eastAsia="CESI仿宋-GB2312" w:cs="CESI仿宋-GB2312"/>
          <w:snapToGrid/>
          <w:kern w:val="2"/>
          <w:sz w:val="32"/>
          <w:szCs w:val="32"/>
          <w:lang w:eastAsia="zh-CN"/>
        </w:rPr>
        <w:t>包头市农牧业产业化重点龙头企业（以下简称“龙头企业”）是指以农畜产品生产、加工、流通和销售为主业，通过股份合作、订单合同、价格保护、服务协作、流转聘用等方式，与农牧户建立利益联结，使农畜产品生产、加工、流通、销售有机结合、相互促进，在企业规模、经营指标和产品质量安全等方面达到规定标准并经包头市农牧局、包头市发展和改革委员会、包头市工业和信息化局、包头市财政局、包头市市场监督管理局、国家税务总局包头市税务局、中国人民银行包头市分行、包头市供销合作社</w:t>
      </w:r>
      <w:r>
        <w:rPr>
          <w:rFonts w:hint="eastAsia" w:ascii="CESI仿宋-GB2312" w:hAnsi="CESI仿宋-GB2312" w:eastAsia="CESI仿宋-GB2312" w:cs="CESI仿宋-GB2312"/>
          <w:snapToGrid/>
          <w:kern w:val="2"/>
          <w:sz w:val="32"/>
          <w:szCs w:val="32"/>
          <w:lang w:val="en-US" w:eastAsia="zh-CN"/>
        </w:rPr>
        <w:t>9部门（</w:t>
      </w:r>
      <w:r>
        <w:rPr>
          <w:rFonts w:hint="eastAsia" w:ascii="CESI仿宋-GB2312" w:hAnsi="CESI仿宋-GB2312" w:eastAsia="CESI仿宋-GB2312" w:cs="CESI仿宋-GB2312"/>
          <w:snapToGrid/>
          <w:kern w:val="2"/>
          <w:sz w:val="32"/>
          <w:szCs w:val="32"/>
          <w:lang w:eastAsia="zh-CN"/>
        </w:rPr>
        <w:t>包头市推进农牧业产业化领导小组成员单位</w:t>
      </w:r>
      <w:r>
        <w:rPr>
          <w:rFonts w:hint="eastAsia" w:ascii="CESI仿宋-GB2312" w:hAnsi="CESI仿宋-GB2312" w:eastAsia="CESI仿宋-GB2312" w:cs="CESI仿宋-GB2312"/>
          <w:snapToGrid/>
          <w:kern w:val="2"/>
          <w:sz w:val="32"/>
          <w:szCs w:val="32"/>
          <w:lang w:val="en-US" w:eastAsia="zh-CN"/>
        </w:rPr>
        <w:t>）联合</w:t>
      </w:r>
      <w:r>
        <w:rPr>
          <w:rFonts w:hint="eastAsia" w:ascii="CESI仿宋-GB2312" w:hAnsi="CESI仿宋-GB2312" w:eastAsia="CESI仿宋-GB2312" w:cs="CESI仿宋-GB2312"/>
          <w:snapToGrid/>
          <w:kern w:val="2"/>
          <w:sz w:val="32"/>
          <w:szCs w:val="32"/>
          <w:lang w:eastAsia="zh-CN"/>
        </w:rPr>
        <w:t>认定的农牧业企业。</w:t>
      </w:r>
    </w:p>
    <w:p w14:paraId="77F53B63">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CESI仿宋-GB2312" w:hAnsi="CESI仿宋-GB2312" w:eastAsia="CESI仿宋-GB2312" w:cs="CESI仿宋-GB2312"/>
          <w:snapToGrid/>
          <w:kern w:val="2"/>
          <w:sz w:val="32"/>
          <w:szCs w:val="32"/>
          <w:lang w:eastAsia="zh-CN"/>
        </w:rPr>
      </w:pPr>
      <w:r>
        <w:rPr>
          <w:rFonts w:hint="eastAsia" w:ascii="仿宋_GB2312" w:hAnsi="Calibri" w:eastAsia="仿宋_GB2312" w:cs="Times New Roman"/>
          <w:snapToGrid/>
          <w:kern w:val="2"/>
          <w:sz w:val="32"/>
          <w:szCs w:val="32"/>
          <w:lang w:eastAsia="zh-CN"/>
        </w:rPr>
        <w:t xml:space="preserve">    </w:t>
      </w:r>
      <w:r>
        <w:rPr>
          <w:rFonts w:hint="eastAsia" w:ascii="楷体_GB2312" w:hAnsi="楷体_GB2312" w:eastAsia="楷体_GB2312" w:cs="楷体_GB2312"/>
          <w:b/>
          <w:snapToGrid/>
          <w:kern w:val="2"/>
          <w:sz w:val="32"/>
          <w:szCs w:val="32"/>
          <w:lang w:eastAsia="zh-CN"/>
        </w:rPr>
        <w:t>第三条</w:t>
      </w:r>
      <w:r>
        <w:rPr>
          <w:rFonts w:hint="eastAsia" w:ascii="仿宋_GB2312" w:hAnsi="Calibri" w:eastAsia="仿宋_GB2312" w:cs="Times New Roman"/>
          <w:snapToGrid/>
          <w:kern w:val="2"/>
          <w:sz w:val="32"/>
          <w:szCs w:val="32"/>
          <w:lang w:eastAsia="zh-CN"/>
        </w:rPr>
        <w:t xml:space="preserve">  </w:t>
      </w:r>
      <w:r>
        <w:rPr>
          <w:rFonts w:hint="eastAsia" w:ascii="CESI仿宋-GB2312" w:hAnsi="CESI仿宋-GB2312" w:eastAsia="CESI仿宋-GB2312" w:cs="CESI仿宋-GB2312"/>
          <w:snapToGrid/>
          <w:kern w:val="2"/>
          <w:sz w:val="32"/>
          <w:szCs w:val="32"/>
          <w:lang w:eastAsia="zh-CN"/>
        </w:rPr>
        <w:t>龙头企业认定和运行监测工作要坚持公开、公平、公正原则，遵循市场经济规律，不干预企业经营自主权，强化农牧主管部门职能，加强日常监督管理，引进动态竞争淘汰机制。</w:t>
      </w:r>
    </w:p>
    <w:p w14:paraId="1F82FBB3">
      <w:pPr>
        <w:keepNext w:val="0"/>
        <w:keepLines w:val="0"/>
        <w:pageBreakBefore w:val="0"/>
        <w:widowControl w:val="0"/>
        <w:kinsoku/>
        <w:wordWrap/>
        <w:overflowPunct/>
        <w:topLinePunct w:val="0"/>
        <w:autoSpaceDE/>
        <w:autoSpaceDN/>
        <w:bidi w:val="0"/>
        <w:adjustRightInd/>
        <w:snapToGrid/>
        <w:spacing w:line="600" w:lineRule="exact"/>
        <w:ind w:firstLine="660"/>
        <w:jc w:val="both"/>
        <w:textAlignment w:val="auto"/>
        <w:rPr>
          <w:rFonts w:hint="eastAsia" w:ascii="仿宋_GB2312" w:hAnsi="Calibri" w:eastAsia="仿宋_GB2312" w:cs="Times New Roman"/>
          <w:snapToGrid/>
          <w:kern w:val="2"/>
          <w:sz w:val="32"/>
          <w:szCs w:val="32"/>
          <w:lang w:eastAsia="zh-CN"/>
        </w:rPr>
      </w:pPr>
      <w:r>
        <w:rPr>
          <w:rFonts w:hint="eastAsia" w:ascii="楷体_GB2312" w:hAnsi="楷体_GB2312" w:eastAsia="楷体_GB2312" w:cs="楷体_GB2312"/>
          <w:b/>
          <w:snapToGrid/>
          <w:kern w:val="2"/>
          <w:sz w:val="32"/>
          <w:szCs w:val="32"/>
          <w:lang w:eastAsia="zh-CN"/>
        </w:rPr>
        <w:t>第四条</w:t>
      </w:r>
      <w:r>
        <w:rPr>
          <w:rFonts w:hint="eastAsia" w:ascii="仿宋_GB2312" w:hAnsi="Calibri" w:eastAsia="仿宋_GB2312" w:cs="Times New Roman"/>
          <w:snapToGrid/>
          <w:kern w:val="2"/>
          <w:sz w:val="32"/>
          <w:szCs w:val="32"/>
          <w:lang w:eastAsia="zh-CN"/>
        </w:rPr>
        <w:t xml:space="preserve">  </w:t>
      </w:r>
      <w:r>
        <w:rPr>
          <w:rFonts w:hint="eastAsia" w:ascii="CESI仿宋-GB2312" w:hAnsi="CESI仿宋-GB2312" w:eastAsia="CESI仿宋-GB2312" w:cs="CESI仿宋-GB2312"/>
          <w:snapToGrid/>
          <w:kern w:val="2"/>
          <w:sz w:val="32"/>
          <w:szCs w:val="32"/>
          <w:lang w:eastAsia="zh-CN"/>
        </w:rPr>
        <w:t>凡申报或已获准认定为龙头企业的农牧业企业，适用于本办法。</w:t>
      </w:r>
    </w:p>
    <w:p w14:paraId="368F0B5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黑体" w:hAnsi="黑体" w:eastAsia="黑体" w:cs="Times New Roman"/>
          <w:snapToGrid/>
          <w:kern w:val="2"/>
          <w:sz w:val="32"/>
          <w:szCs w:val="32"/>
          <w:lang w:eastAsia="zh-CN"/>
        </w:rPr>
      </w:pPr>
      <w:r>
        <w:rPr>
          <w:rFonts w:hint="eastAsia" w:ascii="黑体" w:hAnsi="黑体" w:eastAsia="黑体" w:cs="Times New Roman"/>
          <w:snapToGrid/>
          <w:kern w:val="2"/>
          <w:sz w:val="32"/>
          <w:szCs w:val="32"/>
          <w:lang w:eastAsia="zh-CN"/>
        </w:rPr>
        <w:t>第二章 申  报</w:t>
      </w:r>
    </w:p>
    <w:p w14:paraId="0C4DCA8D">
      <w:pPr>
        <w:keepNext w:val="0"/>
        <w:keepLines w:val="0"/>
        <w:pageBreakBefore w:val="0"/>
        <w:widowControl w:val="0"/>
        <w:kinsoku/>
        <w:wordWrap/>
        <w:overflowPunct/>
        <w:topLinePunct w:val="0"/>
        <w:autoSpaceDE/>
        <w:autoSpaceDN/>
        <w:bidi w:val="0"/>
        <w:adjustRightInd/>
        <w:snapToGrid/>
        <w:spacing w:line="600" w:lineRule="exact"/>
        <w:ind w:firstLine="660"/>
        <w:jc w:val="both"/>
        <w:textAlignment w:val="auto"/>
        <w:rPr>
          <w:rFonts w:hint="eastAsia" w:ascii="CESI仿宋-GB2312" w:hAnsi="CESI仿宋-GB2312" w:eastAsia="CESI仿宋-GB2312" w:cs="CESI仿宋-GB2312"/>
          <w:snapToGrid/>
          <w:kern w:val="2"/>
          <w:sz w:val="32"/>
          <w:szCs w:val="32"/>
          <w:lang w:eastAsia="zh-CN"/>
        </w:rPr>
      </w:pPr>
      <w:r>
        <w:rPr>
          <w:rFonts w:hint="eastAsia" w:ascii="楷体_GB2312" w:hAnsi="楷体_GB2312" w:eastAsia="楷体_GB2312" w:cs="楷体_GB2312"/>
          <w:b/>
          <w:snapToGrid/>
          <w:kern w:val="2"/>
          <w:sz w:val="32"/>
          <w:szCs w:val="32"/>
          <w:lang w:eastAsia="zh-CN"/>
        </w:rPr>
        <w:t>第五条</w:t>
      </w:r>
      <w:r>
        <w:rPr>
          <w:rFonts w:hint="eastAsia" w:ascii="仿宋_GB2312" w:hAnsi="Calibri" w:eastAsia="仿宋_GB2312" w:cs="Times New Roman"/>
          <w:snapToGrid/>
          <w:kern w:val="2"/>
          <w:sz w:val="32"/>
          <w:szCs w:val="32"/>
          <w:lang w:eastAsia="zh-CN"/>
        </w:rPr>
        <w:t xml:space="preserve">  </w:t>
      </w:r>
      <w:r>
        <w:rPr>
          <w:rFonts w:hint="eastAsia" w:ascii="CESI仿宋-GB2312" w:hAnsi="CESI仿宋-GB2312" w:eastAsia="CESI仿宋-GB2312" w:cs="CESI仿宋-GB2312"/>
          <w:snapToGrid/>
          <w:kern w:val="2"/>
          <w:sz w:val="32"/>
          <w:szCs w:val="32"/>
          <w:lang w:eastAsia="zh-CN"/>
        </w:rPr>
        <w:t>申报企业应符合以下基本标准：</w:t>
      </w:r>
    </w:p>
    <w:p w14:paraId="45AAE786">
      <w:pPr>
        <w:keepNext w:val="0"/>
        <w:keepLines w:val="0"/>
        <w:pageBreakBefore w:val="0"/>
        <w:widowControl w:val="0"/>
        <w:kinsoku/>
        <w:wordWrap/>
        <w:overflowPunct/>
        <w:topLinePunct w:val="0"/>
        <w:autoSpaceDE/>
        <w:autoSpaceDN/>
        <w:bidi w:val="0"/>
        <w:adjustRightInd/>
        <w:snapToGrid/>
        <w:spacing w:line="600" w:lineRule="exact"/>
        <w:ind w:firstLine="660"/>
        <w:jc w:val="both"/>
        <w:textAlignment w:val="auto"/>
        <w:rPr>
          <w:rFonts w:hint="eastAsia" w:ascii="CESI仿宋-GB2312" w:hAnsi="CESI仿宋-GB2312" w:eastAsia="CESI仿宋-GB2312" w:cs="CESI仿宋-GB2312"/>
          <w:snapToGrid/>
          <w:kern w:val="2"/>
          <w:sz w:val="32"/>
          <w:szCs w:val="32"/>
          <w:lang w:eastAsia="zh-CN"/>
        </w:rPr>
      </w:pPr>
      <w:r>
        <w:rPr>
          <w:rFonts w:hint="eastAsia" w:ascii="CESI仿宋-GB2312" w:hAnsi="CESI仿宋-GB2312" w:eastAsia="CESI仿宋-GB2312" w:cs="CESI仿宋-GB2312"/>
          <w:snapToGrid/>
          <w:kern w:val="2"/>
          <w:sz w:val="32"/>
          <w:szCs w:val="32"/>
          <w:lang w:eastAsia="zh-CN"/>
        </w:rPr>
        <w:t>1.企业组织形式。在包头市境内经市场主体登记注册部门注册登记2年以上，依法设立的以</w:t>
      </w:r>
      <w:r>
        <w:rPr>
          <w:rFonts w:hint="eastAsia" w:ascii="CESI仿宋-GB2312" w:hAnsi="CESI仿宋-GB2312" w:eastAsia="CESI仿宋-GB2312" w:cs="CESI仿宋-GB2312"/>
          <w:snapToGrid/>
          <w:kern w:val="2"/>
          <w:sz w:val="32"/>
          <w:szCs w:val="32"/>
          <w:lang w:val="en-US" w:eastAsia="zh-CN"/>
        </w:rPr>
        <w:t>农畜</w:t>
      </w:r>
      <w:r>
        <w:rPr>
          <w:rFonts w:hint="eastAsia" w:ascii="CESI仿宋-GB2312" w:hAnsi="CESI仿宋-GB2312" w:eastAsia="CESI仿宋-GB2312" w:cs="CESI仿宋-GB2312"/>
          <w:snapToGrid/>
          <w:kern w:val="2"/>
          <w:sz w:val="32"/>
          <w:szCs w:val="32"/>
          <w:lang w:eastAsia="zh-CN"/>
        </w:rPr>
        <w:t>产品生产、加工或流通为主业、具有独立法人资格的企业。包括依照《中华人民共和国公司法》设立的公司，其他形式的国有、集体、私营企业以及中外合资经营、中外合作经营、外商独资企业，直接在市场主体登记注册部门注册登记的农产品专业批发市场等。</w:t>
      </w:r>
    </w:p>
    <w:p w14:paraId="1884F488">
      <w:pPr>
        <w:keepNext w:val="0"/>
        <w:keepLines w:val="0"/>
        <w:pageBreakBefore w:val="0"/>
        <w:widowControl w:val="0"/>
        <w:kinsoku/>
        <w:wordWrap/>
        <w:overflowPunct/>
        <w:topLinePunct w:val="0"/>
        <w:autoSpaceDE/>
        <w:autoSpaceDN/>
        <w:bidi w:val="0"/>
        <w:adjustRightInd/>
        <w:snapToGrid/>
        <w:spacing w:line="600" w:lineRule="exact"/>
        <w:ind w:firstLine="660"/>
        <w:jc w:val="both"/>
        <w:textAlignment w:val="auto"/>
        <w:rPr>
          <w:rFonts w:hint="eastAsia" w:ascii="CESI仿宋-GB2312" w:hAnsi="CESI仿宋-GB2312" w:eastAsia="CESI仿宋-GB2312" w:cs="CESI仿宋-GB2312"/>
          <w:snapToGrid/>
          <w:kern w:val="2"/>
          <w:sz w:val="32"/>
          <w:szCs w:val="32"/>
          <w:lang w:eastAsia="zh-CN"/>
        </w:rPr>
      </w:pPr>
      <w:r>
        <w:rPr>
          <w:rFonts w:hint="eastAsia" w:ascii="CESI仿宋-GB2312" w:hAnsi="CESI仿宋-GB2312" w:eastAsia="CESI仿宋-GB2312" w:cs="CESI仿宋-GB2312"/>
          <w:snapToGrid/>
          <w:kern w:val="2"/>
          <w:sz w:val="32"/>
          <w:szCs w:val="32"/>
          <w:lang w:eastAsia="zh-CN"/>
        </w:rPr>
        <w:t>2.企业经营产品。企业中农畜产品生产、加工、流通的销售收入（交易额）占总销售收入（总交易额）70%以上。</w:t>
      </w:r>
    </w:p>
    <w:p w14:paraId="2CE6A330">
      <w:pPr>
        <w:keepNext w:val="0"/>
        <w:keepLines w:val="0"/>
        <w:pageBreakBefore w:val="0"/>
        <w:widowControl w:val="0"/>
        <w:kinsoku/>
        <w:wordWrap/>
        <w:overflowPunct/>
        <w:topLinePunct w:val="0"/>
        <w:autoSpaceDE/>
        <w:autoSpaceDN/>
        <w:bidi w:val="0"/>
        <w:adjustRightInd/>
        <w:snapToGrid/>
        <w:spacing w:line="600" w:lineRule="exact"/>
        <w:ind w:firstLine="660"/>
        <w:jc w:val="both"/>
        <w:textAlignment w:val="auto"/>
        <w:rPr>
          <w:rFonts w:hint="eastAsia" w:ascii="CESI仿宋-GB2312" w:hAnsi="CESI仿宋-GB2312" w:eastAsia="CESI仿宋-GB2312" w:cs="CESI仿宋-GB2312"/>
          <w:snapToGrid/>
          <w:kern w:val="2"/>
          <w:sz w:val="32"/>
          <w:szCs w:val="32"/>
          <w:lang w:eastAsia="zh-CN"/>
        </w:rPr>
      </w:pPr>
      <w:r>
        <w:rPr>
          <w:rFonts w:hint="eastAsia" w:ascii="CESI仿宋-GB2312" w:hAnsi="CESI仿宋-GB2312" w:eastAsia="CESI仿宋-GB2312" w:cs="CESI仿宋-GB2312"/>
          <w:snapToGrid/>
          <w:kern w:val="2"/>
          <w:sz w:val="32"/>
          <w:szCs w:val="32"/>
          <w:lang w:eastAsia="zh-CN"/>
        </w:rPr>
        <w:t>3.</w:t>
      </w:r>
      <w:r>
        <w:rPr>
          <w:rFonts w:hint="eastAsia" w:ascii="CESI仿宋-GB2312" w:hAnsi="CESI仿宋-GB2312" w:eastAsia="CESI仿宋-GB2312" w:cs="CESI仿宋-GB2312"/>
          <w:b w:val="0"/>
          <w:bCs w:val="0"/>
          <w:snapToGrid/>
          <w:kern w:val="2"/>
          <w:sz w:val="32"/>
          <w:szCs w:val="32"/>
          <w:lang w:eastAsia="zh-CN"/>
        </w:rPr>
        <w:t>农畜产品加工、流通企业规模。总资产规模</w:t>
      </w:r>
      <w:r>
        <w:rPr>
          <w:rFonts w:hint="eastAsia" w:ascii="CESI仿宋-GB2312" w:hAnsi="CESI仿宋-GB2312" w:eastAsia="CESI仿宋-GB2312" w:cs="CESI仿宋-GB2312"/>
          <w:b w:val="0"/>
          <w:bCs w:val="0"/>
          <w:snapToGrid/>
          <w:kern w:val="2"/>
          <w:sz w:val="32"/>
          <w:szCs w:val="32"/>
          <w:lang w:val="en-US" w:eastAsia="zh-CN"/>
        </w:rPr>
        <w:t>1500</w:t>
      </w:r>
      <w:r>
        <w:rPr>
          <w:rFonts w:hint="eastAsia" w:ascii="CESI仿宋-GB2312" w:hAnsi="CESI仿宋-GB2312" w:eastAsia="CESI仿宋-GB2312" w:cs="CESI仿宋-GB2312"/>
          <w:b w:val="0"/>
          <w:bCs w:val="0"/>
          <w:snapToGrid/>
          <w:kern w:val="2"/>
          <w:sz w:val="32"/>
          <w:szCs w:val="32"/>
          <w:lang w:eastAsia="zh-CN"/>
        </w:rPr>
        <w:t>万元以上，固定资产规模</w:t>
      </w:r>
      <w:r>
        <w:rPr>
          <w:rFonts w:hint="eastAsia" w:ascii="CESI仿宋-GB2312" w:hAnsi="CESI仿宋-GB2312" w:eastAsia="CESI仿宋-GB2312" w:cs="CESI仿宋-GB2312"/>
          <w:b w:val="0"/>
          <w:bCs w:val="0"/>
          <w:snapToGrid/>
          <w:kern w:val="2"/>
          <w:sz w:val="32"/>
          <w:szCs w:val="32"/>
          <w:lang w:val="en-US" w:eastAsia="zh-CN"/>
        </w:rPr>
        <w:t>600</w:t>
      </w:r>
      <w:r>
        <w:rPr>
          <w:rFonts w:hint="eastAsia" w:ascii="CESI仿宋-GB2312" w:hAnsi="CESI仿宋-GB2312" w:eastAsia="CESI仿宋-GB2312" w:cs="CESI仿宋-GB2312"/>
          <w:b w:val="0"/>
          <w:bCs w:val="0"/>
          <w:snapToGrid/>
          <w:kern w:val="2"/>
          <w:sz w:val="32"/>
          <w:szCs w:val="32"/>
          <w:lang w:eastAsia="zh-CN"/>
        </w:rPr>
        <w:t>万元以上，年销售收入（交易额）</w:t>
      </w:r>
      <w:r>
        <w:rPr>
          <w:rFonts w:hint="eastAsia" w:ascii="CESI仿宋-GB2312" w:hAnsi="CESI仿宋-GB2312" w:eastAsia="CESI仿宋-GB2312" w:cs="CESI仿宋-GB2312"/>
          <w:b w:val="0"/>
          <w:bCs w:val="0"/>
          <w:snapToGrid/>
          <w:kern w:val="2"/>
          <w:sz w:val="32"/>
          <w:szCs w:val="32"/>
          <w:lang w:val="en-US" w:eastAsia="zh-CN"/>
        </w:rPr>
        <w:t xml:space="preserve">1200 </w:t>
      </w:r>
      <w:r>
        <w:rPr>
          <w:rFonts w:hint="eastAsia" w:ascii="CESI仿宋-GB2312" w:hAnsi="CESI仿宋-GB2312" w:eastAsia="CESI仿宋-GB2312" w:cs="CESI仿宋-GB2312"/>
          <w:b w:val="0"/>
          <w:bCs w:val="0"/>
          <w:snapToGrid/>
          <w:kern w:val="2"/>
          <w:sz w:val="32"/>
          <w:szCs w:val="32"/>
          <w:lang w:eastAsia="zh-CN"/>
        </w:rPr>
        <w:t>万</w:t>
      </w:r>
      <w:r>
        <w:rPr>
          <w:rFonts w:hint="eastAsia" w:ascii="CESI仿宋-GB2312" w:hAnsi="CESI仿宋-GB2312" w:eastAsia="CESI仿宋-GB2312" w:cs="CESI仿宋-GB2312"/>
          <w:snapToGrid/>
          <w:kern w:val="2"/>
          <w:sz w:val="32"/>
          <w:szCs w:val="32"/>
          <w:lang w:eastAsia="zh-CN"/>
        </w:rPr>
        <w:t>元以上。</w:t>
      </w:r>
    </w:p>
    <w:p w14:paraId="05F5F248">
      <w:pPr>
        <w:keepNext w:val="0"/>
        <w:keepLines w:val="0"/>
        <w:pageBreakBefore w:val="0"/>
        <w:widowControl w:val="0"/>
        <w:kinsoku/>
        <w:wordWrap/>
        <w:overflowPunct/>
        <w:topLinePunct w:val="0"/>
        <w:autoSpaceDE/>
        <w:autoSpaceDN/>
        <w:bidi w:val="0"/>
        <w:adjustRightInd/>
        <w:snapToGrid/>
        <w:spacing w:line="600" w:lineRule="exact"/>
        <w:ind w:firstLine="660"/>
        <w:jc w:val="both"/>
        <w:textAlignment w:val="auto"/>
        <w:rPr>
          <w:rFonts w:hint="eastAsia" w:ascii="CESI仿宋-GB2312" w:hAnsi="CESI仿宋-GB2312" w:eastAsia="CESI仿宋-GB2312" w:cs="CESI仿宋-GB2312"/>
          <w:snapToGrid/>
          <w:kern w:val="2"/>
          <w:sz w:val="32"/>
          <w:szCs w:val="32"/>
          <w:lang w:eastAsia="zh-CN"/>
        </w:rPr>
      </w:pPr>
      <w:r>
        <w:rPr>
          <w:rFonts w:hint="eastAsia" w:ascii="CESI仿宋-GB2312" w:hAnsi="CESI仿宋-GB2312" w:eastAsia="CESI仿宋-GB2312" w:cs="CESI仿宋-GB2312"/>
          <w:snapToGrid/>
          <w:kern w:val="2"/>
          <w:sz w:val="32"/>
          <w:szCs w:val="32"/>
          <w:lang w:eastAsia="zh-CN"/>
        </w:rPr>
        <w:t>4.以规模化种植为主业的企业（含社会化服务企业）规模。总资产规模</w:t>
      </w:r>
      <w:r>
        <w:rPr>
          <w:rFonts w:hint="eastAsia" w:ascii="CESI仿宋-GB2312" w:hAnsi="CESI仿宋-GB2312" w:eastAsia="CESI仿宋-GB2312" w:cs="CESI仿宋-GB2312"/>
          <w:snapToGrid/>
          <w:kern w:val="2"/>
          <w:sz w:val="32"/>
          <w:szCs w:val="32"/>
          <w:lang w:val="en-US" w:eastAsia="zh-CN"/>
        </w:rPr>
        <w:t>1200</w:t>
      </w:r>
      <w:r>
        <w:rPr>
          <w:rFonts w:hint="eastAsia" w:ascii="CESI仿宋-GB2312" w:hAnsi="CESI仿宋-GB2312" w:eastAsia="CESI仿宋-GB2312" w:cs="CESI仿宋-GB2312"/>
          <w:snapToGrid/>
          <w:kern w:val="2"/>
          <w:sz w:val="32"/>
          <w:szCs w:val="32"/>
          <w:lang w:eastAsia="zh-CN"/>
        </w:rPr>
        <w:t>万元以上，固定资产规模</w:t>
      </w:r>
      <w:r>
        <w:rPr>
          <w:rFonts w:hint="eastAsia" w:ascii="CESI仿宋-GB2312" w:hAnsi="CESI仿宋-GB2312" w:eastAsia="CESI仿宋-GB2312" w:cs="CESI仿宋-GB2312"/>
          <w:snapToGrid/>
          <w:kern w:val="2"/>
          <w:sz w:val="32"/>
          <w:szCs w:val="32"/>
          <w:lang w:val="en-US" w:eastAsia="zh-CN"/>
        </w:rPr>
        <w:t>500</w:t>
      </w:r>
      <w:r>
        <w:rPr>
          <w:rFonts w:hint="eastAsia" w:ascii="CESI仿宋-GB2312" w:hAnsi="CESI仿宋-GB2312" w:eastAsia="CESI仿宋-GB2312" w:cs="CESI仿宋-GB2312"/>
          <w:snapToGrid/>
          <w:kern w:val="2"/>
          <w:sz w:val="32"/>
          <w:szCs w:val="32"/>
          <w:lang w:eastAsia="zh-CN"/>
        </w:rPr>
        <w:t>万元以上，年销售收入（交易额</w:t>
      </w:r>
      <w:r>
        <w:rPr>
          <w:rFonts w:hint="eastAsia" w:ascii="CESI仿宋-GB2312" w:hAnsi="CESI仿宋-GB2312" w:eastAsia="CESI仿宋-GB2312" w:cs="CESI仿宋-GB2312"/>
          <w:b w:val="0"/>
          <w:bCs w:val="0"/>
          <w:snapToGrid/>
          <w:kern w:val="2"/>
          <w:sz w:val="32"/>
          <w:szCs w:val="32"/>
          <w:lang w:eastAsia="zh-CN"/>
        </w:rPr>
        <w:t>）</w:t>
      </w:r>
      <w:r>
        <w:rPr>
          <w:rFonts w:hint="eastAsia" w:ascii="CESI仿宋-GB2312" w:hAnsi="CESI仿宋-GB2312" w:eastAsia="CESI仿宋-GB2312" w:cs="CESI仿宋-GB2312"/>
          <w:b w:val="0"/>
          <w:bCs w:val="0"/>
          <w:snapToGrid/>
          <w:kern w:val="2"/>
          <w:sz w:val="32"/>
          <w:szCs w:val="32"/>
          <w:lang w:val="en-US" w:eastAsia="zh-CN"/>
        </w:rPr>
        <w:t>800</w:t>
      </w:r>
      <w:r>
        <w:rPr>
          <w:rFonts w:hint="eastAsia" w:ascii="CESI仿宋-GB2312" w:hAnsi="CESI仿宋-GB2312" w:eastAsia="CESI仿宋-GB2312" w:cs="CESI仿宋-GB2312"/>
          <w:b w:val="0"/>
          <w:bCs w:val="0"/>
          <w:snapToGrid/>
          <w:kern w:val="2"/>
          <w:sz w:val="32"/>
          <w:szCs w:val="32"/>
          <w:lang w:eastAsia="zh-CN"/>
        </w:rPr>
        <w:t>万</w:t>
      </w:r>
      <w:r>
        <w:rPr>
          <w:rFonts w:hint="eastAsia" w:ascii="CESI仿宋-GB2312" w:hAnsi="CESI仿宋-GB2312" w:eastAsia="CESI仿宋-GB2312" w:cs="CESI仿宋-GB2312"/>
          <w:snapToGrid/>
          <w:kern w:val="2"/>
          <w:sz w:val="32"/>
          <w:szCs w:val="32"/>
          <w:lang w:eastAsia="zh-CN"/>
        </w:rPr>
        <w:t>元以上。</w:t>
      </w:r>
    </w:p>
    <w:p w14:paraId="7F8EC537">
      <w:pPr>
        <w:keepNext w:val="0"/>
        <w:keepLines w:val="0"/>
        <w:pageBreakBefore w:val="0"/>
        <w:widowControl w:val="0"/>
        <w:kinsoku/>
        <w:wordWrap/>
        <w:overflowPunct/>
        <w:topLinePunct w:val="0"/>
        <w:autoSpaceDE/>
        <w:autoSpaceDN/>
        <w:bidi w:val="0"/>
        <w:adjustRightInd/>
        <w:snapToGrid/>
        <w:spacing w:line="600" w:lineRule="exact"/>
        <w:ind w:firstLine="660"/>
        <w:jc w:val="both"/>
        <w:textAlignment w:val="auto"/>
        <w:rPr>
          <w:rFonts w:hint="eastAsia" w:ascii="CESI仿宋-GB2312" w:hAnsi="CESI仿宋-GB2312" w:eastAsia="CESI仿宋-GB2312" w:cs="CESI仿宋-GB2312"/>
          <w:snapToGrid/>
          <w:kern w:val="2"/>
          <w:sz w:val="32"/>
          <w:szCs w:val="32"/>
          <w:lang w:eastAsia="zh-CN"/>
        </w:rPr>
      </w:pPr>
      <w:r>
        <w:rPr>
          <w:rFonts w:hint="eastAsia" w:ascii="CESI仿宋-GB2312" w:hAnsi="CESI仿宋-GB2312" w:eastAsia="CESI仿宋-GB2312" w:cs="CESI仿宋-GB2312"/>
          <w:snapToGrid/>
          <w:kern w:val="2"/>
          <w:sz w:val="32"/>
          <w:szCs w:val="32"/>
          <w:lang w:eastAsia="zh-CN"/>
        </w:rPr>
        <w:t>5.以规模化养殖为主业的企业（含社会化服务企业）规模。总资产规模</w:t>
      </w:r>
      <w:r>
        <w:rPr>
          <w:rFonts w:hint="eastAsia" w:ascii="CESI仿宋-GB2312" w:hAnsi="CESI仿宋-GB2312" w:eastAsia="CESI仿宋-GB2312" w:cs="CESI仿宋-GB2312"/>
          <w:snapToGrid/>
          <w:kern w:val="2"/>
          <w:sz w:val="32"/>
          <w:szCs w:val="32"/>
          <w:lang w:val="en-US" w:eastAsia="zh-CN"/>
        </w:rPr>
        <w:t>1500</w:t>
      </w:r>
      <w:r>
        <w:rPr>
          <w:rFonts w:hint="eastAsia" w:ascii="CESI仿宋-GB2312" w:hAnsi="CESI仿宋-GB2312" w:eastAsia="CESI仿宋-GB2312" w:cs="CESI仿宋-GB2312"/>
          <w:snapToGrid/>
          <w:kern w:val="2"/>
          <w:sz w:val="32"/>
          <w:szCs w:val="32"/>
          <w:lang w:eastAsia="zh-CN"/>
        </w:rPr>
        <w:t>万元以上，固定资产规模</w:t>
      </w:r>
      <w:r>
        <w:rPr>
          <w:rFonts w:hint="eastAsia" w:ascii="CESI仿宋-GB2312" w:hAnsi="CESI仿宋-GB2312" w:eastAsia="CESI仿宋-GB2312" w:cs="CESI仿宋-GB2312"/>
          <w:snapToGrid/>
          <w:kern w:val="2"/>
          <w:sz w:val="32"/>
          <w:szCs w:val="32"/>
          <w:lang w:val="en-US" w:eastAsia="zh-CN"/>
        </w:rPr>
        <w:t>800</w:t>
      </w:r>
      <w:r>
        <w:rPr>
          <w:rFonts w:hint="eastAsia" w:ascii="CESI仿宋-GB2312" w:hAnsi="CESI仿宋-GB2312" w:eastAsia="CESI仿宋-GB2312" w:cs="CESI仿宋-GB2312"/>
          <w:snapToGrid/>
          <w:kern w:val="2"/>
          <w:sz w:val="32"/>
          <w:szCs w:val="32"/>
          <w:lang w:eastAsia="zh-CN"/>
        </w:rPr>
        <w:t>万元以上，年销售收入（交易额）</w:t>
      </w:r>
      <w:r>
        <w:rPr>
          <w:rFonts w:hint="eastAsia" w:ascii="CESI仿宋-GB2312" w:hAnsi="CESI仿宋-GB2312" w:eastAsia="CESI仿宋-GB2312" w:cs="CESI仿宋-GB2312"/>
          <w:snapToGrid/>
          <w:kern w:val="2"/>
          <w:sz w:val="32"/>
          <w:szCs w:val="32"/>
          <w:lang w:val="en-US" w:eastAsia="zh-CN"/>
        </w:rPr>
        <w:t>800</w:t>
      </w:r>
      <w:r>
        <w:rPr>
          <w:rFonts w:hint="eastAsia" w:ascii="CESI仿宋-GB2312" w:hAnsi="CESI仿宋-GB2312" w:eastAsia="CESI仿宋-GB2312" w:cs="CESI仿宋-GB2312"/>
          <w:snapToGrid/>
          <w:kern w:val="2"/>
          <w:sz w:val="32"/>
          <w:szCs w:val="32"/>
          <w:lang w:eastAsia="zh-CN"/>
        </w:rPr>
        <w:t>万元以上。</w:t>
      </w:r>
    </w:p>
    <w:p w14:paraId="0BB80F67">
      <w:pPr>
        <w:keepNext w:val="0"/>
        <w:keepLines w:val="0"/>
        <w:pageBreakBefore w:val="0"/>
        <w:widowControl w:val="0"/>
        <w:kinsoku/>
        <w:wordWrap/>
        <w:overflowPunct/>
        <w:topLinePunct w:val="0"/>
        <w:autoSpaceDE/>
        <w:autoSpaceDN/>
        <w:bidi w:val="0"/>
        <w:adjustRightInd/>
        <w:snapToGrid/>
        <w:spacing w:line="600" w:lineRule="exact"/>
        <w:ind w:firstLine="660"/>
        <w:jc w:val="both"/>
        <w:textAlignment w:val="auto"/>
        <w:rPr>
          <w:rFonts w:hint="eastAsia" w:ascii="CESI仿宋-GB2312" w:hAnsi="CESI仿宋-GB2312" w:eastAsia="CESI仿宋-GB2312" w:cs="CESI仿宋-GB2312"/>
          <w:snapToGrid/>
          <w:kern w:val="2"/>
          <w:sz w:val="32"/>
          <w:szCs w:val="32"/>
          <w:lang w:eastAsia="zh-CN"/>
        </w:rPr>
      </w:pPr>
      <w:r>
        <w:rPr>
          <w:rFonts w:hint="eastAsia" w:ascii="CESI仿宋-GB2312" w:hAnsi="CESI仿宋-GB2312" w:eastAsia="CESI仿宋-GB2312" w:cs="CESI仿宋-GB2312"/>
          <w:snapToGrid/>
          <w:kern w:val="2"/>
          <w:sz w:val="32"/>
          <w:szCs w:val="32"/>
          <w:lang w:eastAsia="zh-CN"/>
        </w:rPr>
        <w:t>6.农畜产品专业批发市场。年交易规模达到</w:t>
      </w:r>
      <w:r>
        <w:rPr>
          <w:rFonts w:hint="eastAsia" w:ascii="CESI仿宋-GB2312" w:hAnsi="CESI仿宋-GB2312" w:eastAsia="CESI仿宋-GB2312" w:cs="CESI仿宋-GB2312"/>
          <w:snapToGrid/>
          <w:kern w:val="2"/>
          <w:sz w:val="32"/>
          <w:szCs w:val="32"/>
          <w:lang w:val="en-US" w:eastAsia="zh-CN"/>
        </w:rPr>
        <w:t>2</w:t>
      </w:r>
      <w:r>
        <w:rPr>
          <w:rFonts w:hint="eastAsia" w:ascii="CESI仿宋-GB2312" w:hAnsi="CESI仿宋-GB2312" w:eastAsia="CESI仿宋-GB2312" w:cs="CESI仿宋-GB2312"/>
          <w:snapToGrid/>
          <w:kern w:val="2"/>
          <w:sz w:val="32"/>
          <w:szCs w:val="32"/>
          <w:lang w:eastAsia="zh-CN"/>
        </w:rPr>
        <w:t>亿元以上，入住商户</w:t>
      </w:r>
      <w:r>
        <w:rPr>
          <w:rFonts w:hint="eastAsia" w:ascii="CESI仿宋-GB2312" w:hAnsi="CESI仿宋-GB2312" w:eastAsia="CESI仿宋-GB2312" w:cs="CESI仿宋-GB2312"/>
          <w:snapToGrid/>
          <w:kern w:val="2"/>
          <w:sz w:val="32"/>
          <w:szCs w:val="32"/>
          <w:lang w:val="en-US" w:eastAsia="zh-CN"/>
        </w:rPr>
        <w:t>300</w:t>
      </w:r>
      <w:r>
        <w:rPr>
          <w:rFonts w:hint="eastAsia" w:ascii="CESI仿宋-GB2312" w:hAnsi="CESI仿宋-GB2312" w:eastAsia="CESI仿宋-GB2312" w:cs="CESI仿宋-GB2312"/>
          <w:snapToGrid/>
          <w:kern w:val="2"/>
          <w:sz w:val="32"/>
          <w:szCs w:val="32"/>
          <w:lang w:eastAsia="zh-CN"/>
        </w:rPr>
        <w:t>户以上或带动农牧民就业人数</w:t>
      </w:r>
      <w:r>
        <w:rPr>
          <w:rFonts w:hint="eastAsia" w:ascii="CESI仿宋-GB2312" w:hAnsi="CESI仿宋-GB2312" w:eastAsia="CESI仿宋-GB2312" w:cs="CESI仿宋-GB2312"/>
          <w:snapToGrid/>
          <w:kern w:val="2"/>
          <w:sz w:val="32"/>
          <w:szCs w:val="32"/>
          <w:lang w:val="en-US" w:eastAsia="zh-CN"/>
        </w:rPr>
        <w:t>800</w:t>
      </w:r>
      <w:r>
        <w:rPr>
          <w:rFonts w:hint="eastAsia" w:ascii="CESI仿宋-GB2312" w:hAnsi="CESI仿宋-GB2312" w:eastAsia="CESI仿宋-GB2312" w:cs="CESI仿宋-GB2312"/>
          <w:snapToGrid/>
          <w:kern w:val="2"/>
          <w:sz w:val="32"/>
          <w:szCs w:val="32"/>
          <w:lang w:eastAsia="zh-CN"/>
        </w:rPr>
        <w:t>人以上。</w:t>
      </w:r>
    </w:p>
    <w:p w14:paraId="4B11FF7C">
      <w:pPr>
        <w:keepNext w:val="0"/>
        <w:keepLines w:val="0"/>
        <w:pageBreakBefore w:val="0"/>
        <w:widowControl w:val="0"/>
        <w:kinsoku/>
        <w:wordWrap/>
        <w:overflowPunct/>
        <w:topLinePunct w:val="0"/>
        <w:autoSpaceDE/>
        <w:autoSpaceDN/>
        <w:bidi w:val="0"/>
        <w:adjustRightInd/>
        <w:snapToGrid/>
        <w:spacing w:line="600" w:lineRule="exact"/>
        <w:ind w:firstLine="660"/>
        <w:jc w:val="both"/>
        <w:textAlignment w:val="auto"/>
        <w:rPr>
          <w:rFonts w:hint="eastAsia" w:ascii="CESI仿宋-GB2312" w:hAnsi="CESI仿宋-GB2312" w:eastAsia="CESI仿宋-GB2312" w:cs="CESI仿宋-GB2312"/>
          <w:snapToGrid/>
          <w:kern w:val="2"/>
          <w:sz w:val="32"/>
          <w:szCs w:val="32"/>
          <w:lang w:eastAsia="zh-CN"/>
        </w:rPr>
      </w:pPr>
      <w:r>
        <w:rPr>
          <w:rFonts w:hint="eastAsia" w:ascii="CESI仿宋-GB2312" w:hAnsi="CESI仿宋-GB2312" w:eastAsia="CESI仿宋-GB2312" w:cs="CESI仿宋-GB2312"/>
          <w:snapToGrid/>
          <w:kern w:val="2"/>
          <w:sz w:val="32"/>
          <w:szCs w:val="32"/>
          <w:lang w:eastAsia="zh-CN"/>
        </w:rPr>
        <w:t>7.农畜产品电子商务企业规模。年交易规模达到</w:t>
      </w:r>
      <w:r>
        <w:rPr>
          <w:rFonts w:hint="eastAsia" w:ascii="CESI仿宋-GB2312" w:hAnsi="CESI仿宋-GB2312" w:eastAsia="CESI仿宋-GB2312" w:cs="CESI仿宋-GB2312"/>
          <w:snapToGrid/>
          <w:kern w:val="2"/>
          <w:sz w:val="32"/>
          <w:szCs w:val="32"/>
          <w:lang w:val="en-US" w:eastAsia="zh-CN"/>
        </w:rPr>
        <w:t>1</w:t>
      </w:r>
      <w:r>
        <w:rPr>
          <w:rFonts w:hint="eastAsia" w:ascii="CESI仿宋-GB2312" w:hAnsi="CESI仿宋-GB2312" w:eastAsia="CESI仿宋-GB2312" w:cs="CESI仿宋-GB2312"/>
          <w:snapToGrid/>
          <w:kern w:val="2"/>
          <w:sz w:val="32"/>
          <w:szCs w:val="32"/>
          <w:lang w:eastAsia="zh-CN"/>
        </w:rPr>
        <w:t>亿元以上。</w:t>
      </w:r>
    </w:p>
    <w:p w14:paraId="440EF761">
      <w:pPr>
        <w:keepNext w:val="0"/>
        <w:keepLines w:val="0"/>
        <w:pageBreakBefore w:val="0"/>
        <w:widowControl w:val="0"/>
        <w:kinsoku/>
        <w:wordWrap/>
        <w:overflowPunct/>
        <w:topLinePunct w:val="0"/>
        <w:autoSpaceDE/>
        <w:autoSpaceDN/>
        <w:bidi w:val="0"/>
        <w:adjustRightInd/>
        <w:snapToGrid/>
        <w:spacing w:line="600" w:lineRule="exact"/>
        <w:ind w:firstLine="660"/>
        <w:jc w:val="both"/>
        <w:textAlignment w:val="auto"/>
        <w:rPr>
          <w:rFonts w:hint="eastAsia" w:ascii="CESI仿宋-GB2312" w:hAnsi="CESI仿宋-GB2312" w:eastAsia="CESI仿宋-GB2312" w:cs="CESI仿宋-GB2312"/>
          <w:snapToGrid/>
          <w:kern w:val="2"/>
          <w:sz w:val="32"/>
          <w:szCs w:val="32"/>
          <w:lang w:eastAsia="zh-CN"/>
        </w:rPr>
      </w:pPr>
      <w:r>
        <w:rPr>
          <w:rFonts w:hint="eastAsia" w:ascii="CESI仿宋-GB2312" w:hAnsi="CESI仿宋-GB2312" w:eastAsia="CESI仿宋-GB2312" w:cs="CESI仿宋-GB2312"/>
          <w:snapToGrid/>
          <w:kern w:val="2"/>
          <w:sz w:val="32"/>
          <w:szCs w:val="32"/>
          <w:lang w:eastAsia="zh-CN"/>
        </w:rPr>
        <w:t>8.休闲农牧业企业规模。总资产</w:t>
      </w:r>
      <w:r>
        <w:rPr>
          <w:rFonts w:hint="eastAsia" w:ascii="CESI仿宋-GB2312" w:hAnsi="CESI仿宋-GB2312" w:eastAsia="CESI仿宋-GB2312" w:cs="CESI仿宋-GB2312"/>
          <w:b w:val="0"/>
          <w:bCs w:val="0"/>
          <w:snapToGrid/>
          <w:kern w:val="2"/>
          <w:sz w:val="32"/>
          <w:szCs w:val="32"/>
          <w:lang w:eastAsia="zh-CN"/>
        </w:rPr>
        <w:t>规模</w:t>
      </w:r>
      <w:r>
        <w:rPr>
          <w:rFonts w:hint="eastAsia" w:ascii="CESI仿宋-GB2312" w:hAnsi="CESI仿宋-GB2312" w:eastAsia="CESI仿宋-GB2312" w:cs="CESI仿宋-GB2312"/>
          <w:b w:val="0"/>
          <w:bCs w:val="0"/>
          <w:snapToGrid/>
          <w:kern w:val="2"/>
          <w:sz w:val="32"/>
          <w:szCs w:val="32"/>
          <w:lang w:val="en-US" w:eastAsia="zh-CN"/>
        </w:rPr>
        <w:t>1000</w:t>
      </w:r>
      <w:r>
        <w:rPr>
          <w:rFonts w:hint="eastAsia" w:ascii="CESI仿宋-GB2312" w:hAnsi="CESI仿宋-GB2312" w:eastAsia="CESI仿宋-GB2312" w:cs="CESI仿宋-GB2312"/>
          <w:b w:val="0"/>
          <w:bCs w:val="0"/>
          <w:snapToGrid/>
          <w:kern w:val="2"/>
          <w:sz w:val="32"/>
          <w:szCs w:val="32"/>
          <w:lang w:eastAsia="zh-CN"/>
        </w:rPr>
        <w:t>万元以上，固定资产规模</w:t>
      </w:r>
      <w:r>
        <w:rPr>
          <w:rFonts w:hint="eastAsia" w:ascii="CESI仿宋-GB2312" w:hAnsi="CESI仿宋-GB2312" w:eastAsia="CESI仿宋-GB2312" w:cs="CESI仿宋-GB2312"/>
          <w:b w:val="0"/>
          <w:bCs w:val="0"/>
          <w:snapToGrid/>
          <w:kern w:val="2"/>
          <w:sz w:val="32"/>
          <w:szCs w:val="32"/>
          <w:lang w:val="en-US" w:eastAsia="zh-CN"/>
        </w:rPr>
        <w:t>800</w:t>
      </w:r>
      <w:r>
        <w:rPr>
          <w:rFonts w:hint="eastAsia" w:ascii="CESI仿宋-GB2312" w:hAnsi="CESI仿宋-GB2312" w:eastAsia="CESI仿宋-GB2312" w:cs="CESI仿宋-GB2312"/>
          <w:b w:val="0"/>
          <w:bCs w:val="0"/>
          <w:snapToGrid/>
          <w:kern w:val="2"/>
          <w:sz w:val="32"/>
          <w:szCs w:val="32"/>
          <w:lang w:eastAsia="zh-CN"/>
        </w:rPr>
        <w:t>万元以上，年销售收入（交易额）</w:t>
      </w:r>
      <w:r>
        <w:rPr>
          <w:rFonts w:hint="eastAsia" w:ascii="CESI仿宋-GB2312" w:hAnsi="CESI仿宋-GB2312" w:eastAsia="CESI仿宋-GB2312" w:cs="CESI仿宋-GB2312"/>
          <w:b w:val="0"/>
          <w:bCs w:val="0"/>
          <w:snapToGrid/>
          <w:kern w:val="2"/>
          <w:sz w:val="32"/>
          <w:szCs w:val="32"/>
          <w:lang w:val="en-US" w:eastAsia="zh-CN"/>
        </w:rPr>
        <w:t>1000</w:t>
      </w:r>
      <w:r>
        <w:rPr>
          <w:rFonts w:hint="eastAsia" w:ascii="CESI仿宋-GB2312" w:hAnsi="CESI仿宋-GB2312" w:eastAsia="CESI仿宋-GB2312" w:cs="CESI仿宋-GB2312"/>
          <w:snapToGrid/>
          <w:kern w:val="2"/>
          <w:sz w:val="32"/>
          <w:szCs w:val="32"/>
          <w:lang w:eastAsia="zh-CN"/>
        </w:rPr>
        <w:t>万元以上，带动农牧民就业人数200人以上。</w:t>
      </w:r>
    </w:p>
    <w:p w14:paraId="575BE8A3">
      <w:pPr>
        <w:keepNext w:val="0"/>
        <w:keepLines w:val="0"/>
        <w:pageBreakBefore w:val="0"/>
        <w:widowControl w:val="0"/>
        <w:kinsoku/>
        <w:wordWrap/>
        <w:overflowPunct/>
        <w:topLinePunct w:val="0"/>
        <w:autoSpaceDE/>
        <w:autoSpaceDN/>
        <w:bidi w:val="0"/>
        <w:adjustRightInd/>
        <w:snapToGrid/>
        <w:spacing w:line="600" w:lineRule="exact"/>
        <w:ind w:firstLine="660"/>
        <w:jc w:val="both"/>
        <w:textAlignment w:val="auto"/>
        <w:rPr>
          <w:rFonts w:hint="eastAsia" w:ascii="CESI仿宋-GB2312" w:hAnsi="CESI仿宋-GB2312" w:eastAsia="CESI仿宋-GB2312" w:cs="CESI仿宋-GB2312"/>
          <w:snapToGrid/>
          <w:kern w:val="2"/>
          <w:sz w:val="32"/>
          <w:szCs w:val="32"/>
          <w:lang w:val="en-US" w:eastAsia="zh-CN"/>
        </w:rPr>
      </w:pPr>
      <w:r>
        <w:rPr>
          <w:rFonts w:hint="eastAsia" w:ascii="CESI仿宋-GB2312" w:hAnsi="CESI仿宋-GB2312" w:eastAsia="CESI仿宋-GB2312" w:cs="CESI仿宋-GB2312"/>
          <w:snapToGrid/>
          <w:kern w:val="2"/>
          <w:sz w:val="32"/>
          <w:szCs w:val="32"/>
          <w:lang w:eastAsia="zh-CN"/>
        </w:rPr>
        <w:t>9.农牧业种业企业规模。总资产规模</w:t>
      </w:r>
      <w:r>
        <w:rPr>
          <w:rFonts w:hint="eastAsia" w:ascii="CESI仿宋-GB2312" w:hAnsi="CESI仿宋-GB2312" w:eastAsia="CESI仿宋-GB2312" w:cs="CESI仿宋-GB2312"/>
          <w:snapToGrid/>
          <w:kern w:val="2"/>
          <w:sz w:val="32"/>
          <w:szCs w:val="32"/>
          <w:lang w:val="en-US" w:eastAsia="zh-CN"/>
        </w:rPr>
        <w:t>1500</w:t>
      </w:r>
      <w:r>
        <w:rPr>
          <w:rFonts w:hint="eastAsia" w:ascii="CESI仿宋-GB2312" w:hAnsi="CESI仿宋-GB2312" w:eastAsia="CESI仿宋-GB2312" w:cs="CESI仿宋-GB2312"/>
          <w:snapToGrid/>
          <w:kern w:val="2"/>
          <w:sz w:val="32"/>
          <w:szCs w:val="32"/>
          <w:lang w:eastAsia="zh-CN"/>
        </w:rPr>
        <w:t>万元以上，固定资产规模</w:t>
      </w:r>
      <w:r>
        <w:rPr>
          <w:rFonts w:hint="eastAsia" w:ascii="CESI仿宋-GB2312" w:hAnsi="CESI仿宋-GB2312" w:eastAsia="CESI仿宋-GB2312" w:cs="CESI仿宋-GB2312"/>
          <w:snapToGrid/>
          <w:kern w:val="2"/>
          <w:sz w:val="32"/>
          <w:szCs w:val="32"/>
          <w:lang w:val="en-US" w:eastAsia="zh-CN"/>
        </w:rPr>
        <w:t>300</w:t>
      </w:r>
      <w:r>
        <w:rPr>
          <w:rFonts w:hint="eastAsia" w:ascii="CESI仿宋-GB2312" w:hAnsi="CESI仿宋-GB2312" w:eastAsia="CESI仿宋-GB2312" w:cs="CESI仿宋-GB2312"/>
          <w:snapToGrid/>
          <w:kern w:val="2"/>
          <w:sz w:val="32"/>
          <w:szCs w:val="32"/>
          <w:lang w:eastAsia="zh-CN"/>
        </w:rPr>
        <w:t>万元以上，年销售收入（交易额）</w:t>
      </w:r>
      <w:r>
        <w:rPr>
          <w:rFonts w:hint="eastAsia" w:ascii="CESI仿宋-GB2312" w:hAnsi="CESI仿宋-GB2312" w:eastAsia="CESI仿宋-GB2312" w:cs="CESI仿宋-GB2312"/>
          <w:snapToGrid/>
          <w:kern w:val="2"/>
          <w:sz w:val="32"/>
          <w:szCs w:val="32"/>
          <w:lang w:val="en-US" w:eastAsia="zh-CN"/>
        </w:rPr>
        <w:t>800</w:t>
      </w:r>
      <w:r>
        <w:rPr>
          <w:rFonts w:hint="eastAsia" w:ascii="CESI仿宋-GB2312" w:hAnsi="CESI仿宋-GB2312" w:eastAsia="CESI仿宋-GB2312" w:cs="CESI仿宋-GB2312"/>
          <w:snapToGrid/>
          <w:kern w:val="2"/>
          <w:sz w:val="32"/>
          <w:szCs w:val="32"/>
          <w:lang w:eastAsia="zh-CN"/>
        </w:rPr>
        <w:t>万元以上。</w:t>
      </w:r>
      <w:r>
        <w:rPr>
          <w:rFonts w:hint="eastAsia" w:ascii="CESI仿宋-GB2312" w:hAnsi="CESI仿宋-GB2312" w:eastAsia="CESI仿宋-GB2312" w:cs="CESI仿宋-GB2312"/>
          <w:snapToGrid/>
          <w:kern w:val="2"/>
          <w:sz w:val="32"/>
          <w:szCs w:val="32"/>
          <w:lang w:val="en-US" w:eastAsia="zh-CN"/>
        </w:rPr>
        <w:t>获得国家级或自治区级科学技术奖励1项以上，或国家发明专利1项以上，或通过畜禽新品种配套系审定、畜禽遗传资源鉴定、主要农作物品种审定、非主要农作物品种登记、饲用草品种审定等1项以上。</w:t>
      </w:r>
    </w:p>
    <w:p w14:paraId="0344B6A0">
      <w:pPr>
        <w:keepNext w:val="0"/>
        <w:keepLines w:val="0"/>
        <w:pageBreakBefore w:val="0"/>
        <w:widowControl w:val="0"/>
        <w:kinsoku/>
        <w:wordWrap/>
        <w:overflowPunct/>
        <w:topLinePunct w:val="0"/>
        <w:autoSpaceDE/>
        <w:autoSpaceDN/>
        <w:bidi w:val="0"/>
        <w:adjustRightInd/>
        <w:snapToGrid/>
        <w:spacing w:line="600" w:lineRule="exact"/>
        <w:ind w:firstLine="660"/>
        <w:jc w:val="both"/>
        <w:textAlignment w:val="auto"/>
        <w:rPr>
          <w:rFonts w:hint="eastAsia" w:ascii="CESI仿宋-GB2312" w:hAnsi="CESI仿宋-GB2312" w:eastAsia="CESI仿宋-GB2312" w:cs="CESI仿宋-GB2312"/>
          <w:snapToGrid/>
          <w:kern w:val="2"/>
          <w:sz w:val="32"/>
          <w:szCs w:val="32"/>
          <w:lang w:val="en-US" w:eastAsia="zh-CN"/>
        </w:rPr>
      </w:pPr>
      <w:r>
        <w:rPr>
          <w:rFonts w:hint="eastAsia" w:ascii="CESI仿宋-GB2312" w:hAnsi="CESI仿宋-GB2312" w:eastAsia="CESI仿宋-GB2312" w:cs="CESI仿宋-GB2312"/>
          <w:snapToGrid/>
          <w:kern w:val="2"/>
          <w:sz w:val="32"/>
          <w:szCs w:val="32"/>
          <w:lang w:val="en-US" w:eastAsia="zh-CN"/>
        </w:rPr>
        <w:t>10.传统奶制品生产企业规模。总资产规模800万元以上，固定资产规模500万元以上，年销售收入（交易额）1000万元以上。</w:t>
      </w:r>
    </w:p>
    <w:p w14:paraId="451AF220">
      <w:pPr>
        <w:keepNext w:val="0"/>
        <w:keepLines w:val="0"/>
        <w:pageBreakBefore w:val="0"/>
        <w:widowControl w:val="0"/>
        <w:kinsoku/>
        <w:wordWrap/>
        <w:overflowPunct/>
        <w:topLinePunct w:val="0"/>
        <w:autoSpaceDE/>
        <w:autoSpaceDN/>
        <w:bidi w:val="0"/>
        <w:adjustRightInd/>
        <w:snapToGrid/>
        <w:spacing w:line="600" w:lineRule="exact"/>
        <w:ind w:firstLine="660"/>
        <w:jc w:val="both"/>
        <w:textAlignment w:val="auto"/>
        <w:rPr>
          <w:rFonts w:hint="eastAsia" w:ascii="CESI仿宋-GB2312" w:hAnsi="CESI仿宋-GB2312" w:eastAsia="CESI仿宋-GB2312" w:cs="CESI仿宋-GB2312"/>
          <w:snapToGrid/>
          <w:kern w:val="2"/>
          <w:sz w:val="32"/>
          <w:szCs w:val="32"/>
          <w:lang w:eastAsia="zh-CN"/>
        </w:rPr>
      </w:pPr>
      <w:r>
        <w:rPr>
          <w:rFonts w:hint="eastAsia" w:ascii="CESI仿宋-GB2312" w:hAnsi="CESI仿宋-GB2312" w:eastAsia="CESI仿宋-GB2312" w:cs="CESI仿宋-GB2312"/>
          <w:snapToGrid/>
          <w:kern w:val="2"/>
          <w:sz w:val="32"/>
          <w:szCs w:val="32"/>
          <w:lang w:eastAsia="zh-CN"/>
        </w:rPr>
        <w:t>11.企业效益。近2年内，企业的总资产报酬率原则上不低于现行贷款市场报价利率</w:t>
      </w:r>
      <w:r>
        <w:rPr>
          <w:rFonts w:hint="eastAsia" w:ascii="CESI仿宋-GB2312" w:hAnsi="CESI仿宋-GB2312" w:eastAsia="CESI仿宋-GB2312" w:cs="CESI仿宋-GB2312"/>
          <w:snapToGrid/>
          <w:kern w:val="2"/>
          <w:sz w:val="32"/>
          <w:szCs w:val="32"/>
          <w:lang w:val="en-US" w:eastAsia="zh-CN"/>
        </w:rPr>
        <w:t>50%</w:t>
      </w:r>
      <w:r>
        <w:rPr>
          <w:rFonts w:hint="eastAsia" w:ascii="CESI仿宋-GB2312" w:hAnsi="CESI仿宋-GB2312" w:eastAsia="CESI仿宋-GB2312" w:cs="CESI仿宋-GB2312"/>
          <w:snapToGrid/>
          <w:kern w:val="2"/>
          <w:sz w:val="32"/>
          <w:szCs w:val="32"/>
          <w:lang w:eastAsia="zh-CN"/>
        </w:rPr>
        <w:t>（中国人民银行授权全国银行间同业拆借中心公布的1年期年利率），产销率达</w:t>
      </w:r>
      <w:r>
        <w:rPr>
          <w:rFonts w:hint="eastAsia" w:ascii="CESI仿宋-GB2312" w:hAnsi="CESI仿宋-GB2312" w:eastAsia="CESI仿宋-GB2312" w:cs="CESI仿宋-GB2312"/>
          <w:snapToGrid/>
          <w:kern w:val="2"/>
          <w:sz w:val="32"/>
          <w:szCs w:val="32"/>
          <w:lang w:val="en-US" w:eastAsia="zh-CN"/>
        </w:rPr>
        <w:t>80%</w:t>
      </w:r>
      <w:r>
        <w:rPr>
          <w:rFonts w:hint="eastAsia" w:ascii="CESI仿宋-GB2312" w:hAnsi="CESI仿宋-GB2312" w:eastAsia="CESI仿宋-GB2312" w:cs="CESI仿宋-GB2312"/>
          <w:snapToGrid/>
          <w:kern w:val="2"/>
          <w:sz w:val="32"/>
          <w:szCs w:val="32"/>
          <w:lang w:eastAsia="zh-CN"/>
        </w:rPr>
        <w:t>以上。</w:t>
      </w:r>
    </w:p>
    <w:p w14:paraId="75CA2FCD">
      <w:pPr>
        <w:keepNext w:val="0"/>
        <w:keepLines w:val="0"/>
        <w:pageBreakBefore w:val="0"/>
        <w:widowControl w:val="0"/>
        <w:kinsoku/>
        <w:wordWrap/>
        <w:overflowPunct/>
        <w:topLinePunct w:val="0"/>
        <w:autoSpaceDE/>
        <w:autoSpaceDN/>
        <w:bidi w:val="0"/>
        <w:adjustRightInd/>
        <w:snapToGrid/>
        <w:spacing w:line="600" w:lineRule="exact"/>
        <w:ind w:firstLine="660"/>
        <w:jc w:val="both"/>
        <w:textAlignment w:val="auto"/>
        <w:rPr>
          <w:rFonts w:hint="eastAsia" w:ascii="CESI仿宋-GB2312" w:hAnsi="CESI仿宋-GB2312" w:eastAsia="CESI仿宋-GB2312" w:cs="CESI仿宋-GB2312"/>
          <w:snapToGrid/>
          <w:kern w:val="2"/>
          <w:sz w:val="32"/>
          <w:szCs w:val="32"/>
          <w:lang w:eastAsia="zh-CN"/>
        </w:rPr>
      </w:pPr>
      <w:r>
        <w:rPr>
          <w:rFonts w:hint="eastAsia" w:ascii="CESI仿宋-GB2312" w:hAnsi="CESI仿宋-GB2312" w:eastAsia="CESI仿宋-GB2312" w:cs="CESI仿宋-GB2312"/>
          <w:snapToGrid/>
          <w:kern w:val="2"/>
          <w:sz w:val="32"/>
          <w:szCs w:val="32"/>
          <w:lang w:eastAsia="zh-CN"/>
        </w:rPr>
        <w:t>12.企业负债与信用。企业资产负债率原则上应低于</w:t>
      </w:r>
      <w:r>
        <w:rPr>
          <w:rFonts w:hint="eastAsia" w:ascii="CESI仿宋-GB2312" w:hAnsi="CESI仿宋-GB2312" w:eastAsia="CESI仿宋-GB2312" w:cs="CESI仿宋-GB2312"/>
          <w:snapToGrid/>
          <w:kern w:val="2"/>
          <w:sz w:val="32"/>
          <w:szCs w:val="32"/>
          <w:lang w:val="en-US" w:eastAsia="zh-CN"/>
        </w:rPr>
        <w:t>70%。</w:t>
      </w:r>
      <w:r>
        <w:rPr>
          <w:rFonts w:hint="eastAsia" w:ascii="CESI仿宋-GB2312" w:hAnsi="CESI仿宋-GB2312" w:eastAsia="CESI仿宋-GB2312" w:cs="CESI仿宋-GB2312"/>
          <w:snapToGrid/>
          <w:kern w:val="2"/>
          <w:sz w:val="32"/>
          <w:szCs w:val="32"/>
          <w:lang w:eastAsia="zh-CN"/>
        </w:rPr>
        <w:t>企业诚信守法经营，应按时发放工资、按时缴纳社会保险、按月计提固定资产折旧，无重大涉税违法行为。有银行贷款的企业，近2年内不得有不良信用记录，并需提供申报当年中国人民银行出具的企业征信报告。</w:t>
      </w:r>
    </w:p>
    <w:p w14:paraId="7F6F3205">
      <w:pPr>
        <w:keepNext w:val="0"/>
        <w:keepLines w:val="0"/>
        <w:pageBreakBefore w:val="0"/>
        <w:widowControl w:val="0"/>
        <w:kinsoku/>
        <w:wordWrap/>
        <w:overflowPunct/>
        <w:topLinePunct w:val="0"/>
        <w:autoSpaceDE/>
        <w:autoSpaceDN/>
        <w:bidi w:val="0"/>
        <w:adjustRightInd/>
        <w:snapToGrid/>
        <w:spacing w:line="600" w:lineRule="exact"/>
        <w:ind w:firstLine="660"/>
        <w:jc w:val="both"/>
        <w:textAlignment w:val="auto"/>
        <w:rPr>
          <w:rFonts w:hint="eastAsia" w:ascii="CESI仿宋-GB2312" w:hAnsi="CESI仿宋-GB2312" w:eastAsia="CESI仿宋-GB2312" w:cs="CESI仿宋-GB2312"/>
          <w:snapToGrid/>
          <w:kern w:val="2"/>
          <w:sz w:val="32"/>
          <w:szCs w:val="32"/>
          <w:lang w:eastAsia="zh-CN"/>
        </w:rPr>
      </w:pPr>
      <w:r>
        <w:rPr>
          <w:rFonts w:hint="eastAsia" w:ascii="CESI仿宋-GB2312" w:hAnsi="CESI仿宋-GB2312" w:eastAsia="CESI仿宋-GB2312" w:cs="CESI仿宋-GB2312"/>
          <w:snapToGrid/>
          <w:kern w:val="2"/>
          <w:sz w:val="32"/>
          <w:szCs w:val="32"/>
          <w:lang w:eastAsia="zh-CN"/>
        </w:rPr>
        <w:t>13.企业带动能力。鼓励龙头企业牵头组建“龙头企业+农牧民合作社+家庭农牧场+农牧户”等模式的农牧业产业化联合体，通过股份合作、订单合同、服务协作、流转聘用等利益联结方式直接带动</w:t>
      </w:r>
      <w:r>
        <w:rPr>
          <w:rFonts w:hint="eastAsia" w:ascii="CESI仿宋-GB2312" w:hAnsi="CESI仿宋-GB2312" w:eastAsia="CESI仿宋-GB2312" w:cs="CESI仿宋-GB2312"/>
          <w:snapToGrid/>
          <w:kern w:val="2"/>
          <w:sz w:val="32"/>
          <w:szCs w:val="32"/>
          <w:lang w:val="en-US" w:eastAsia="zh-CN"/>
        </w:rPr>
        <w:t>500</w:t>
      </w:r>
      <w:r>
        <w:rPr>
          <w:rFonts w:hint="eastAsia" w:ascii="CESI仿宋-GB2312" w:hAnsi="CESI仿宋-GB2312" w:eastAsia="CESI仿宋-GB2312" w:cs="CESI仿宋-GB2312"/>
          <w:snapToGrid/>
          <w:kern w:val="2"/>
          <w:sz w:val="32"/>
          <w:szCs w:val="32"/>
          <w:lang w:eastAsia="zh-CN"/>
        </w:rPr>
        <w:t>户农牧户以上或间接带动</w:t>
      </w:r>
      <w:r>
        <w:rPr>
          <w:rFonts w:hint="eastAsia" w:ascii="CESI仿宋-GB2312" w:hAnsi="CESI仿宋-GB2312" w:eastAsia="CESI仿宋-GB2312" w:cs="CESI仿宋-GB2312"/>
          <w:snapToGrid/>
          <w:kern w:val="2"/>
          <w:sz w:val="32"/>
          <w:szCs w:val="32"/>
          <w:lang w:val="en-US" w:eastAsia="zh-CN"/>
        </w:rPr>
        <w:t>800</w:t>
      </w:r>
      <w:r>
        <w:rPr>
          <w:rFonts w:hint="eastAsia" w:ascii="CESI仿宋-GB2312" w:hAnsi="CESI仿宋-GB2312" w:eastAsia="CESI仿宋-GB2312" w:cs="CESI仿宋-GB2312"/>
          <w:snapToGrid/>
          <w:kern w:val="2"/>
          <w:sz w:val="32"/>
          <w:szCs w:val="32"/>
          <w:lang w:eastAsia="zh-CN"/>
        </w:rPr>
        <w:t>户农牧户以上。</w:t>
      </w:r>
      <w:r>
        <w:rPr>
          <w:rFonts w:hint="eastAsia" w:ascii="CESI仿宋-GB2312" w:hAnsi="CESI仿宋-GB2312" w:eastAsia="CESI仿宋-GB2312" w:cs="CESI仿宋-GB2312"/>
          <w:snapToGrid/>
          <w:kern w:val="2"/>
          <w:sz w:val="32"/>
          <w:szCs w:val="32"/>
          <w:lang w:val="en-US" w:eastAsia="zh-CN"/>
        </w:rPr>
        <w:t>对</w:t>
      </w:r>
      <w:r>
        <w:rPr>
          <w:rFonts w:hint="eastAsia" w:ascii="CESI仿宋-GB2312" w:hAnsi="CESI仿宋-GB2312" w:eastAsia="CESI仿宋-GB2312" w:cs="CESI仿宋-GB2312"/>
          <w:snapToGrid/>
          <w:kern w:val="2"/>
          <w:sz w:val="32"/>
          <w:szCs w:val="32"/>
          <w:lang w:eastAsia="zh-CN"/>
        </w:rPr>
        <w:t>农村常住人口较少的旗县区适当放宽指标要求。</w:t>
      </w:r>
    </w:p>
    <w:p w14:paraId="6376A2F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CESI仿宋-GB2312" w:hAnsi="CESI仿宋-GB2312" w:eastAsia="CESI仿宋-GB2312" w:cs="CESI仿宋-GB2312"/>
          <w:snapToGrid/>
          <w:kern w:val="2"/>
          <w:sz w:val="32"/>
          <w:szCs w:val="32"/>
          <w:lang w:val="en-US" w:eastAsia="zh-CN"/>
        </w:rPr>
      </w:pPr>
      <w:r>
        <w:rPr>
          <w:rFonts w:hint="eastAsia" w:ascii="CESI仿宋-GB2312" w:hAnsi="CESI仿宋-GB2312" w:eastAsia="CESI仿宋-GB2312" w:cs="CESI仿宋-GB2312"/>
          <w:snapToGrid/>
          <w:kern w:val="2"/>
          <w:sz w:val="32"/>
          <w:szCs w:val="32"/>
          <w:lang w:val="en-US" w:eastAsia="zh-CN"/>
        </w:rPr>
        <w:t>14.企业产品竞争力。在同行业中企业的产品质量、产品科技含量、新产品开发能力处于先进水平，企业有注册商标和品牌。产品符合国家产业政策、环保政策，并获得相关质量管理标准体系认证，纳入包头市质量安全追溯信息管理平台监管，近2年内没有发生产品质量安全事件和生产安全事故，并需提供申报当年度</w:t>
      </w:r>
      <w:r>
        <w:rPr>
          <w:rFonts w:hint="default" w:ascii="CESI仿宋-GB2312" w:hAnsi="CESI仿宋-GB2312" w:eastAsia="CESI仿宋-GB2312" w:cs="CESI仿宋-GB2312"/>
          <w:snapToGrid/>
          <w:kern w:val="2"/>
          <w:sz w:val="32"/>
          <w:szCs w:val="32"/>
          <w:lang w:val="en-US" w:eastAsia="zh-CN"/>
        </w:rPr>
        <w:fldChar w:fldCharType="begin"/>
      </w:r>
      <w:r>
        <w:rPr>
          <w:rFonts w:hint="default" w:ascii="CESI仿宋-GB2312" w:hAnsi="CESI仿宋-GB2312" w:eastAsia="CESI仿宋-GB2312" w:cs="CESI仿宋-GB2312"/>
          <w:snapToGrid/>
          <w:kern w:val="2"/>
          <w:sz w:val="32"/>
          <w:szCs w:val="32"/>
          <w:lang w:val="en-US" w:eastAsia="zh-CN"/>
        </w:rPr>
        <w:instrText xml:space="preserve"> HYPERLINK "https://www.baidu.com/link?url=pmvgwpn3E0GtVvw12-fnJ2Tcb1H3rFwTwx9N75saU4HExXr-cE0bxEmOunMWbizJ&amp;wd=&amp;eqid=cafaae2f001797d6000000026209bf2c" \t "/home/nmt/文档\\x/_blank" </w:instrText>
      </w:r>
      <w:r>
        <w:rPr>
          <w:rFonts w:hint="default" w:ascii="CESI仿宋-GB2312" w:hAnsi="CESI仿宋-GB2312" w:eastAsia="CESI仿宋-GB2312" w:cs="CESI仿宋-GB2312"/>
          <w:snapToGrid/>
          <w:kern w:val="2"/>
          <w:sz w:val="32"/>
          <w:szCs w:val="32"/>
          <w:lang w:val="en-US" w:eastAsia="zh-CN"/>
        </w:rPr>
        <w:fldChar w:fldCharType="separate"/>
      </w:r>
      <w:r>
        <w:rPr>
          <w:rFonts w:hint="default" w:ascii="CESI仿宋-GB2312" w:hAnsi="CESI仿宋-GB2312" w:eastAsia="CESI仿宋-GB2312" w:cs="CESI仿宋-GB2312"/>
          <w:snapToGrid/>
          <w:kern w:val="2"/>
          <w:sz w:val="32"/>
          <w:szCs w:val="32"/>
          <w:lang w:val="en-US" w:eastAsia="zh-CN"/>
        </w:rPr>
        <w:t>国家企业信用信息公示系统</w:t>
      </w:r>
      <w:r>
        <w:rPr>
          <w:rFonts w:hint="default" w:ascii="CESI仿宋-GB2312" w:hAnsi="CESI仿宋-GB2312" w:eastAsia="CESI仿宋-GB2312" w:cs="CESI仿宋-GB2312"/>
          <w:snapToGrid/>
          <w:kern w:val="2"/>
          <w:sz w:val="32"/>
          <w:szCs w:val="32"/>
          <w:lang w:val="en-US" w:eastAsia="zh-CN"/>
        </w:rPr>
        <w:fldChar w:fldCharType="end"/>
      </w:r>
      <w:r>
        <w:rPr>
          <w:rFonts w:hint="eastAsia" w:ascii="CESI仿宋-GB2312" w:hAnsi="CESI仿宋-GB2312" w:eastAsia="CESI仿宋-GB2312" w:cs="CESI仿宋-GB2312"/>
          <w:snapToGrid/>
          <w:kern w:val="2"/>
          <w:sz w:val="32"/>
          <w:szCs w:val="32"/>
          <w:lang w:val="en-US" w:eastAsia="zh-CN"/>
        </w:rPr>
        <w:t>内的</w:t>
      </w:r>
      <w:r>
        <w:rPr>
          <w:rFonts w:hint="default" w:ascii="CESI仿宋-GB2312" w:hAnsi="CESI仿宋-GB2312" w:eastAsia="CESI仿宋-GB2312" w:cs="CESI仿宋-GB2312"/>
          <w:snapToGrid/>
          <w:kern w:val="2"/>
          <w:sz w:val="32"/>
          <w:szCs w:val="32"/>
          <w:lang w:val="en-US" w:eastAsia="zh-CN"/>
        </w:rPr>
        <w:t>行政处罚信息</w:t>
      </w:r>
      <w:r>
        <w:rPr>
          <w:rFonts w:hint="eastAsia" w:ascii="CESI仿宋-GB2312" w:hAnsi="CESI仿宋-GB2312" w:eastAsia="CESI仿宋-GB2312" w:cs="CESI仿宋-GB2312"/>
          <w:snapToGrid/>
          <w:kern w:val="2"/>
          <w:sz w:val="32"/>
          <w:szCs w:val="32"/>
          <w:lang w:val="en-US" w:eastAsia="zh-CN"/>
        </w:rPr>
        <w:t>、</w:t>
      </w:r>
      <w:r>
        <w:rPr>
          <w:rFonts w:hint="default" w:ascii="CESI仿宋-GB2312" w:hAnsi="CESI仿宋-GB2312" w:eastAsia="CESI仿宋-GB2312" w:cs="CESI仿宋-GB2312"/>
          <w:snapToGrid/>
          <w:kern w:val="2"/>
          <w:sz w:val="32"/>
          <w:szCs w:val="32"/>
          <w:lang w:val="en-US" w:eastAsia="zh-CN"/>
        </w:rPr>
        <w:t>列入经营异常名录信息</w:t>
      </w:r>
      <w:r>
        <w:rPr>
          <w:rFonts w:hint="eastAsia" w:ascii="CESI仿宋-GB2312" w:hAnsi="CESI仿宋-GB2312" w:eastAsia="CESI仿宋-GB2312" w:cs="CESI仿宋-GB2312"/>
          <w:snapToGrid/>
          <w:kern w:val="2"/>
          <w:sz w:val="32"/>
          <w:szCs w:val="32"/>
          <w:lang w:val="en-US" w:eastAsia="zh-CN"/>
        </w:rPr>
        <w:t>和</w:t>
      </w:r>
      <w:r>
        <w:rPr>
          <w:rFonts w:hint="default" w:ascii="CESI仿宋-GB2312" w:hAnsi="CESI仿宋-GB2312" w:eastAsia="CESI仿宋-GB2312" w:cs="CESI仿宋-GB2312"/>
          <w:snapToGrid/>
          <w:kern w:val="2"/>
          <w:sz w:val="32"/>
          <w:szCs w:val="32"/>
          <w:lang w:val="en-US" w:eastAsia="zh-CN"/>
        </w:rPr>
        <w:t>列入严重违法失信名单（黑名单）信息</w:t>
      </w:r>
      <w:r>
        <w:rPr>
          <w:rFonts w:hint="eastAsia" w:ascii="CESI仿宋-GB2312" w:hAnsi="CESI仿宋-GB2312" w:eastAsia="CESI仿宋-GB2312" w:cs="CESI仿宋-GB2312"/>
          <w:snapToGrid/>
          <w:kern w:val="2"/>
          <w:sz w:val="32"/>
          <w:szCs w:val="32"/>
          <w:lang w:val="en-US" w:eastAsia="zh-CN"/>
        </w:rPr>
        <w:t>。</w:t>
      </w:r>
    </w:p>
    <w:p w14:paraId="0AAE1730">
      <w:pPr>
        <w:keepNext w:val="0"/>
        <w:keepLines w:val="0"/>
        <w:pageBreakBefore w:val="0"/>
        <w:widowControl w:val="0"/>
        <w:kinsoku/>
        <w:wordWrap/>
        <w:overflowPunct/>
        <w:topLinePunct w:val="0"/>
        <w:autoSpaceDE/>
        <w:autoSpaceDN/>
        <w:bidi w:val="0"/>
        <w:adjustRightInd/>
        <w:snapToGrid/>
        <w:spacing w:line="600" w:lineRule="exact"/>
        <w:ind w:firstLine="645"/>
        <w:jc w:val="both"/>
        <w:textAlignment w:val="auto"/>
        <w:rPr>
          <w:rFonts w:hint="eastAsia" w:ascii="CESI仿宋-GB2312" w:hAnsi="CESI仿宋-GB2312" w:eastAsia="CESI仿宋-GB2312" w:cs="CESI仿宋-GB2312"/>
          <w:snapToGrid/>
          <w:kern w:val="2"/>
          <w:sz w:val="32"/>
          <w:szCs w:val="32"/>
          <w:lang w:val="en-US" w:eastAsia="zh-CN"/>
        </w:rPr>
      </w:pPr>
      <w:r>
        <w:rPr>
          <w:rFonts w:hint="eastAsia" w:ascii="楷体_GB2312" w:hAnsi="楷体_GB2312" w:eastAsia="楷体_GB2312" w:cs="楷体_GB2312"/>
          <w:b/>
          <w:snapToGrid/>
          <w:kern w:val="2"/>
          <w:sz w:val="32"/>
          <w:szCs w:val="32"/>
          <w:lang w:eastAsia="zh-CN"/>
        </w:rPr>
        <w:t xml:space="preserve">第六条 </w:t>
      </w:r>
      <w:r>
        <w:rPr>
          <w:rFonts w:hint="eastAsia" w:ascii="Calibri" w:hAnsi="Calibri" w:eastAsia="宋体" w:cs="Times New Roman"/>
          <w:b/>
          <w:snapToGrid/>
          <w:kern w:val="2"/>
          <w:szCs w:val="24"/>
          <w:lang w:eastAsia="zh-CN"/>
        </w:rPr>
        <w:t> </w:t>
      </w:r>
      <w:r>
        <w:rPr>
          <w:rFonts w:hint="eastAsia" w:ascii="CESI仿宋-GB2312" w:hAnsi="CESI仿宋-GB2312" w:eastAsia="CESI仿宋-GB2312" w:cs="CESI仿宋-GB2312"/>
          <w:snapToGrid/>
          <w:kern w:val="2"/>
          <w:sz w:val="32"/>
          <w:szCs w:val="32"/>
          <w:lang w:val="en-US" w:eastAsia="zh-CN"/>
        </w:rPr>
        <w:t>申报龙头企业需符合本办法第五条第1、2、11、12、14款要求。农畜产品加工、流通企业还需满足本办法第五条第3、13款要求。规模化种植还需满足本办法第五条第4、13款要求。规模化养殖企业还需满足本办法第五条第5、13款要求。农畜产品专业批发市场还需满足本办法第五条第6款要求。农畜产品电子商务企业还需满足本办法第五条第7、13款要求。休闲农牧业企业还需满足本办法第五条第8款要求。农牧业科技企业还需满足本办法第五条第9、13款要求。传统乳制品企业还需满足本办法第五条第10、13款要求。</w:t>
      </w:r>
    </w:p>
    <w:p w14:paraId="1EF83564">
      <w:pPr>
        <w:keepNext w:val="0"/>
        <w:keepLines w:val="0"/>
        <w:pageBreakBefore w:val="0"/>
        <w:widowControl w:val="0"/>
        <w:kinsoku/>
        <w:wordWrap/>
        <w:overflowPunct/>
        <w:topLinePunct w:val="0"/>
        <w:autoSpaceDE/>
        <w:autoSpaceDN/>
        <w:bidi w:val="0"/>
        <w:adjustRightInd/>
        <w:snapToGrid/>
        <w:spacing w:line="600" w:lineRule="exact"/>
        <w:ind w:firstLine="645"/>
        <w:jc w:val="both"/>
        <w:textAlignment w:val="auto"/>
        <w:rPr>
          <w:rFonts w:hint="eastAsia" w:ascii="CESI仿宋-GB2312" w:hAnsi="CESI仿宋-GB2312" w:eastAsia="CESI仿宋-GB2312" w:cs="CESI仿宋-GB2312"/>
          <w:snapToGrid/>
          <w:kern w:val="2"/>
          <w:sz w:val="32"/>
          <w:szCs w:val="32"/>
          <w:lang w:val="en-US" w:eastAsia="zh-CN"/>
        </w:rPr>
      </w:pPr>
      <w:r>
        <w:rPr>
          <w:rFonts w:hint="eastAsia" w:ascii="楷体_GB2312" w:hAnsi="楷体_GB2312" w:eastAsia="楷体_GB2312" w:cs="楷体_GB2312"/>
          <w:b/>
          <w:snapToGrid/>
          <w:kern w:val="2"/>
          <w:sz w:val="32"/>
          <w:szCs w:val="32"/>
          <w:lang w:eastAsia="zh-CN"/>
        </w:rPr>
        <w:t xml:space="preserve">第七条 </w:t>
      </w:r>
      <w:r>
        <w:rPr>
          <w:rFonts w:hint="eastAsia" w:ascii="仿宋_GB2312" w:hAnsi="Calibri" w:eastAsia="仿宋_GB2312" w:cs="Times New Roman"/>
          <w:snapToGrid/>
          <w:kern w:val="2"/>
          <w:sz w:val="32"/>
          <w:szCs w:val="32"/>
          <w:lang w:eastAsia="zh-CN"/>
        </w:rPr>
        <w:t xml:space="preserve"> </w:t>
      </w:r>
      <w:r>
        <w:rPr>
          <w:rFonts w:hint="eastAsia" w:ascii="CESI仿宋-GB2312" w:hAnsi="CESI仿宋-GB2312" w:eastAsia="CESI仿宋-GB2312" w:cs="CESI仿宋-GB2312"/>
          <w:snapToGrid/>
          <w:kern w:val="2"/>
          <w:sz w:val="32"/>
          <w:szCs w:val="32"/>
          <w:lang w:val="en-US" w:eastAsia="zh-CN"/>
        </w:rPr>
        <w:t>对申报前2年销售收入增长超过20%以上，或与农牧户建立稳定农畜产品产销关系带动农牧户2000户以上的农牧业企业在龙头企业监测和认定中适当放宽1项指标要求。对主动履行社会责任，捐款捐物100万元以上的农牧业企业在龙头企业监测和认定中适当放宽2项指标要求。对属于优势特色产业集群、全产业链建设等项目重点培育产业类别的企业，在龙头企业监测和认定中适当放宽2项指标要求。对近2年内固定资产投入超过1500万元的企业，在监测和认定中可适当放宽总资产报酬率指标要求。对使用农畜产品地理标志、主导农畜产品注册国际商标、获得国际认证认可、具有自主知识产权的农牧业企业在龙头企业认定中优先支持。对组建农牧业产业化联合体，或创建农牧业产业化示范基地的农牧业企业在龙头企业认定中优先支持。对污染源全面达标、发展优质产能，对环境综合整治、城乡污染治理、及环保产业等建设项目有突出贡献的农牧业企业在龙头企业认定中优先支持。发生其他重大社会经济发展波动及突发事件时，龙头企业监测和认定指标可根据情况做出适当调整。</w:t>
      </w:r>
    </w:p>
    <w:p w14:paraId="78339725">
      <w:pPr>
        <w:keepNext w:val="0"/>
        <w:keepLines w:val="0"/>
        <w:pageBreakBefore w:val="0"/>
        <w:widowControl w:val="0"/>
        <w:kinsoku/>
        <w:wordWrap/>
        <w:overflowPunct/>
        <w:topLinePunct w:val="0"/>
        <w:autoSpaceDE/>
        <w:autoSpaceDN/>
        <w:bidi w:val="0"/>
        <w:adjustRightInd/>
        <w:snapToGrid/>
        <w:spacing w:line="600" w:lineRule="exact"/>
        <w:ind w:firstLine="645"/>
        <w:jc w:val="both"/>
        <w:textAlignment w:val="auto"/>
        <w:rPr>
          <w:rFonts w:hint="eastAsia" w:ascii="CESI仿宋-GB2312" w:hAnsi="CESI仿宋-GB2312" w:eastAsia="CESI仿宋-GB2312" w:cs="CESI仿宋-GB2312"/>
          <w:snapToGrid/>
          <w:kern w:val="2"/>
          <w:sz w:val="32"/>
          <w:szCs w:val="32"/>
          <w:lang w:val="en-US" w:eastAsia="zh-CN"/>
        </w:rPr>
      </w:pPr>
      <w:r>
        <w:rPr>
          <w:rFonts w:hint="eastAsia" w:ascii="楷体_GB2312" w:hAnsi="楷体_GB2312" w:eastAsia="楷体_GB2312" w:cs="楷体_GB2312"/>
          <w:b/>
          <w:snapToGrid/>
          <w:kern w:val="2"/>
          <w:sz w:val="32"/>
          <w:szCs w:val="32"/>
          <w:lang w:eastAsia="zh-CN"/>
        </w:rPr>
        <w:t>第八条</w:t>
      </w:r>
      <w:r>
        <w:rPr>
          <w:rFonts w:hint="eastAsia" w:ascii="仿宋_GB2312" w:hAnsi="Calibri" w:eastAsia="仿宋_GB2312" w:cs="Times New Roman"/>
          <w:snapToGrid/>
          <w:kern w:val="2"/>
          <w:sz w:val="32"/>
          <w:szCs w:val="32"/>
          <w:lang w:eastAsia="zh-CN"/>
        </w:rPr>
        <w:t xml:space="preserve">  </w:t>
      </w:r>
      <w:r>
        <w:rPr>
          <w:rFonts w:hint="eastAsia" w:ascii="CESI仿宋-GB2312" w:hAnsi="CESI仿宋-GB2312" w:eastAsia="CESI仿宋-GB2312" w:cs="CESI仿宋-GB2312"/>
          <w:snapToGrid/>
          <w:kern w:val="2"/>
          <w:sz w:val="32"/>
          <w:szCs w:val="32"/>
          <w:lang w:val="en-US" w:eastAsia="zh-CN"/>
        </w:rPr>
        <w:t>申报材料。申报企业应如实提供企业经营基本情况，填报农牧业产业化重点龙头企业经济运行情况表，并按本办法第五条、第六条明确的标准要求提供相关证明材料，同时提供电子版扫描材料。</w:t>
      </w:r>
    </w:p>
    <w:p w14:paraId="4E109D6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CESI仿宋-GB2312" w:hAnsi="CESI仿宋-GB2312" w:eastAsia="CESI仿宋-GB2312" w:cs="CESI仿宋-GB2312"/>
          <w:snapToGrid/>
          <w:kern w:val="2"/>
          <w:sz w:val="32"/>
          <w:szCs w:val="32"/>
          <w:lang w:val="en-US" w:eastAsia="zh-CN"/>
        </w:rPr>
      </w:pPr>
      <w:r>
        <w:rPr>
          <w:rFonts w:hint="eastAsia" w:ascii="CESI仿宋-GB2312" w:hAnsi="CESI仿宋-GB2312" w:eastAsia="CESI仿宋-GB2312" w:cs="CESI仿宋-GB2312"/>
          <w:snapToGrid/>
          <w:kern w:val="2"/>
          <w:sz w:val="32"/>
          <w:szCs w:val="32"/>
          <w:lang w:val="en-US" w:eastAsia="zh-CN"/>
        </w:rPr>
        <w:t>1.企业资产和效益情况须经有资质会计师事务所审定，提供前两个年度的审计报告。</w:t>
      </w:r>
    </w:p>
    <w:p w14:paraId="23A6A26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CESI仿宋-GB2312" w:hAnsi="CESI仿宋-GB2312" w:eastAsia="CESI仿宋-GB2312" w:cs="CESI仿宋-GB2312"/>
          <w:b w:val="0"/>
          <w:bCs w:val="0"/>
          <w:snapToGrid/>
          <w:kern w:val="2"/>
          <w:sz w:val="32"/>
          <w:szCs w:val="32"/>
          <w:lang w:val="en-US" w:eastAsia="zh-CN"/>
        </w:rPr>
      </w:pPr>
      <w:r>
        <w:rPr>
          <w:rFonts w:hint="eastAsia" w:ascii="CESI仿宋-GB2312" w:hAnsi="CESI仿宋-GB2312" w:eastAsia="CESI仿宋-GB2312" w:cs="CESI仿宋-GB2312"/>
          <w:b w:val="0"/>
          <w:bCs w:val="0"/>
          <w:snapToGrid/>
          <w:kern w:val="2"/>
          <w:sz w:val="32"/>
          <w:szCs w:val="32"/>
          <w:lang w:val="en-US" w:eastAsia="zh-CN"/>
        </w:rPr>
        <w:t>2.企业需提供资信情况证明（企业资信情况可从中国人民银行征信分中心打印或由其开户银行提供本行资信情况证明）。</w:t>
      </w:r>
    </w:p>
    <w:p w14:paraId="433495DF">
      <w:pPr>
        <w:keepNext w:val="0"/>
        <w:keepLines w:val="0"/>
        <w:pageBreakBefore w:val="0"/>
        <w:widowControl w:val="0"/>
        <w:kinsoku/>
        <w:wordWrap/>
        <w:overflowPunct/>
        <w:topLinePunct w:val="0"/>
        <w:autoSpaceDE/>
        <w:autoSpaceDN/>
        <w:bidi w:val="0"/>
        <w:adjustRightInd/>
        <w:snapToGrid/>
        <w:spacing w:line="600" w:lineRule="exact"/>
        <w:ind w:firstLine="645"/>
        <w:jc w:val="both"/>
        <w:textAlignment w:val="auto"/>
        <w:rPr>
          <w:rFonts w:hint="eastAsia" w:ascii="CESI仿宋-GB2312" w:hAnsi="CESI仿宋-GB2312" w:eastAsia="CESI仿宋-GB2312" w:cs="CESI仿宋-GB2312"/>
          <w:snapToGrid/>
          <w:kern w:val="2"/>
          <w:sz w:val="32"/>
          <w:szCs w:val="32"/>
          <w:lang w:val="en-US" w:eastAsia="zh-CN"/>
        </w:rPr>
      </w:pPr>
      <w:r>
        <w:rPr>
          <w:rFonts w:hint="eastAsia" w:ascii="CESI仿宋-GB2312" w:hAnsi="CESI仿宋-GB2312" w:eastAsia="CESI仿宋-GB2312" w:cs="CESI仿宋-GB2312"/>
          <w:snapToGrid/>
          <w:kern w:val="2"/>
          <w:sz w:val="32"/>
          <w:szCs w:val="32"/>
          <w:lang w:val="en-US" w:eastAsia="zh-CN"/>
        </w:rPr>
        <w:t>3.企业带动能力和利益联结关系情况证明由旗县农牧主管部门开具，并经盟市主管部门确认，应采取适当方式将企业带动农牧户情况进行公示，接受社会监督。</w:t>
      </w:r>
    </w:p>
    <w:p w14:paraId="5AC62529">
      <w:pPr>
        <w:keepNext w:val="0"/>
        <w:keepLines w:val="0"/>
        <w:pageBreakBefore w:val="0"/>
        <w:widowControl w:val="0"/>
        <w:kinsoku/>
        <w:wordWrap/>
        <w:overflowPunct/>
        <w:topLinePunct w:val="0"/>
        <w:autoSpaceDE/>
        <w:autoSpaceDN/>
        <w:bidi w:val="0"/>
        <w:adjustRightInd/>
        <w:snapToGrid/>
        <w:spacing w:line="600" w:lineRule="exact"/>
        <w:ind w:firstLine="645"/>
        <w:jc w:val="both"/>
        <w:textAlignment w:val="auto"/>
        <w:rPr>
          <w:rFonts w:hint="eastAsia" w:ascii="CESI仿宋-GB2312" w:hAnsi="CESI仿宋-GB2312" w:eastAsia="CESI仿宋-GB2312" w:cs="CESI仿宋-GB2312"/>
          <w:snapToGrid/>
          <w:kern w:val="2"/>
          <w:sz w:val="32"/>
          <w:szCs w:val="32"/>
          <w:lang w:val="en-US" w:eastAsia="zh-CN"/>
        </w:rPr>
      </w:pPr>
      <w:r>
        <w:rPr>
          <w:rFonts w:hint="eastAsia" w:ascii="CESI仿宋-GB2312" w:hAnsi="CESI仿宋-GB2312" w:eastAsia="CESI仿宋-GB2312" w:cs="CESI仿宋-GB2312"/>
          <w:snapToGrid/>
          <w:kern w:val="2"/>
          <w:sz w:val="32"/>
          <w:szCs w:val="32"/>
          <w:lang w:val="en-US" w:eastAsia="zh-CN"/>
        </w:rPr>
        <w:t>4.企业的纳税情况须由企业所在地主管税务部门按照有关规定出具前两年度纳税情况证明（或由电子税务局自助打印企业纳税情况）。</w:t>
      </w:r>
    </w:p>
    <w:p w14:paraId="02B20773">
      <w:pPr>
        <w:keepNext w:val="0"/>
        <w:keepLines w:val="0"/>
        <w:pageBreakBefore w:val="0"/>
        <w:widowControl w:val="0"/>
        <w:kinsoku/>
        <w:wordWrap/>
        <w:overflowPunct/>
        <w:topLinePunct w:val="0"/>
        <w:autoSpaceDE/>
        <w:autoSpaceDN/>
        <w:bidi w:val="0"/>
        <w:adjustRightInd/>
        <w:snapToGrid/>
        <w:spacing w:line="600" w:lineRule="exact"/>
        <w:ind w:firstLine="645"/>
        <w:jc w:val="both"/>
        <w:textAlignment w:val="auto"/>
        <w:rPr>
          <w:rFonts w:hint="eastAsia" w:ascii="CESI仿宋-GB2312" w:hAnsi="CESI仿宋-GB2312" w:eastAsia="CESI仿宋-GB2312" w:cs="CESI仿宋-GB2312"/>
          <w:snapToGrid/>
          <w:kern w:val="2"/>
          <w:sz w:val="32"/>
          <w:szCs w:val="32"/>
          <w:lang w:val="en-US" w:eastAsia="zh-CN"/>
        </w:rPr>
      </w:pPr>
      <w:r>
        <w:rPr>
          <w:rFonts w:hint="eastAsia" w:ascii="CESI仿宋-GB2312" w:hAnsi="CESI仿宋-GB2312" w:eastAsia="CESI仿宋-GB2312" w:cs="CESI仿宋-GB2312"/>
          <w:snapToGrid/>
          <w:kern w:val="2"/>
          <w:sz w:val="32"/>
          <w:szCs w:val="32"/>
          <w:lang w:val="en-US" w:eastAsia="zh-CN"/>
        </w:rPr>
        <w:t>5.企业产品质量安全和生产安全情况、农畜产品地理标志、主导农畜产品注册国际商标、国际认证认可、自主知识产权须由所在农牧部门或其他法定监管部门提供书面证明。</w:t>
      </w:r>
    </w:p>
    <w:p w14:paraId="4C104302">
      <w:pPr>
        <w:keepNext w:val="0"/>
        <w:keepLines w:val="0"/>
        <w:pageBreakBefore w:val="0"/>
        <w:widowControl w:val="0"/>
        <w:kinsoku/>
        <w:wordWrap/>
        <w:overflowPunct/>
        <w:topLinePunct w:val="0"/>
        <w:autoSpaceDE/>
        <w:autoSpaceDN/>
        <w:bidi w:val="0"/>
        <w:adjustRightInd/>
        <w:snapToGrid/>
        <w:spacing w:line="600" w:lineRule="exact"/>
        <w:ind w:firstLine="645"/>
        <w:jc w:val="both"/>
        <w:textAlignment w:val="auto"/>
        <w:rPr>
          <w:rFonts w:hint="eastAsia" w:ascii="CESI仿宋-GB2312" w:hAnsi="CESI仿宋-GB2312" w:eastAsia="CESI仿宋-GB2312" w:cs="CESI仿宋-GB2312"/>
          <w:snapToGrid/>
          <w:kern w:val="2"/>
          <w:sz w:val="32"/>
          <w:szCs w:val="32"/>
          <w:lang w:val="en-US" w:eastAsia="zh-CN"/>
        </w:rPr>
      </w:pPr>
      <w:r>
        <w:rPr>
          <w:rFonts w:hint="eastAsia" w:ascii="CESI仿宋-GB2312" w:hAnsi="CESI仿宋-GB2312" w:eastAsia="CESI仿宋-GB2312" w:cs="CESI仿宋-GB2312"/>
          <w:snapToGrid/>
          <w:kern w:val="2"/>
          <w:sz w:val="32"/>
          <w:szCs w:val="32"/>
          <w:lang w:val="en-US" w:eastAsia="zh-CN"/>
        </w:rPr>
        <w:t>6.企业需提供申报当年度</w:t>
      </w:r>
      <w:r>
        <w:rPr>
          <w:rFonts w:hint="default" w:ascii="CESI仿宋-GB2312" w:hAnsi="CESI仿宋-GB2312" w:eastAsia="CESI仿宋-GB2312" w:cs="CESI仿宋-GB2312"/>
          <w:snapToGrid/>
          <w:kern w:val="2"/>
          <w:sz w:val="32"/>
          <w:szCs w:val="32"/>
          <w:lang w:val="en-US" w:eastAsia="zh-CN"/>
        </w:rPr>
        <w:fldChar w:fldCharType="begin"/>
      </w:r>
      <w:r>
        <w:rPr>
          <w:rFonts w:hint="default" w:ascii="CESI仿宋-GB2312" w:hAnsi="CESI仿宋-GB2312" w:eastAsia="CESI仿宋-GB2312" w:cs="CESI仿宋-GB2312"/>
          <w:snapToGrid/>
          <w:kern w:val="2"/>
          <w:sz w:val="32"/>
          <w:szCs w:val="32"/>
          <w:lang w:val="en-US" w:eastAsia="zh-CN"/>
        </w:rPr>
        <w:instrText xml:space="preserve"> HYPERLINK "https://www.baidu.com/link?url=pmvgwpn3E0GtVvw12-fnJ2Tcb1H3rFwTwx9N75saU4HExXr-cE0bxEmOunMWbizJ&amp;wd=&amp;eqid=cafaae2f001797d6000000026209bf2c" \t "/home/nmt/文档\\x/_blank" </w:instrText>
      </w:r>
      <w:r>
        <w:rPr>
          <w:rFonts w:hint="default" w:ascii="CESI仿宋-GB2312" w:hAnsi="CESI仿宋-GB2312" w:eastAsia="CESI仿宋-GB2312" w:cs="CESI仿宋-GB2312"/>
          <w:snapToGrid/>
          <w:kern w:val="2"/>
          <w:sz w:val="32"/>
          <w:szCs w:val="32"/>
          <w:lang w:val="en-US" w:eastAsia="zh-CN"/>
        </w:rPr>
        <w:fldChar w:fldCharType="separate"/>
      </w:r>
      <w:r>
        <w:rPr>
          <w:rFonts w:hint="default" w:ascii="CESI仿宋-GB2312" w:hAnsi="CESI仿宋-GB2312" w:eastAsia="CESI仿宋-GB2312" w:cs="CESI仿宋-GB2312"/>
          <w:snapToGrid/>
          <w:kern w:val="2"/>
          <w:sz w:val="32"/>
          <w:szCs w:val="32"/>
          <w:lang w:val="en-US" w:eastAsia="zh-CN"/>
        </w:rPr>
        <w:t>国家企业信用信息公示系统</w:t>
      </w:r>
      <w:r>
        <w:rPr>
          <w:rFonts w:hint="default" w:ascii="CESI仿宋-GB2312" w:hAnsi="CESI仿宋-GB2312" w:eastAsia="CESI仿宋-GB2312" w:cs="CESI仿宋-GB2312"/>
          <w:snapToGrid/>
          <w:kern w:val="2"/>
          <w:sz w:val="32"/>
          <w:szCs w:val="32"/>
          <w:lang w:val="en-US" w:eastAsia="zh-CN"/>
        </w:rPr>
        <w:fldChar w:fldCharType="end"/>
      </w:r>
      <w:r>
        <w:rPr>
          <w:rFonts w:hint="eastAsia" w:ascii="CESI仿宋-GB2312" w:hAnsi="CESI仿宋-GB2312" w:eastAsia="CESI仿宋-GB2312" w:cs="CESI仿宋-GB2312"/>
          <w:snapToGrid/>
          <w:kern w:val="2"/>
          <w:sz w:val="32"/>
          <w:szCs w:val="32"/>
          <w:lang w:val="en-US" w:eastAsia="zh-CN"/>
        </w:rPr>
        <w:t>内的</w:t>
      </w:r>
      <w:r>
        <w:rPr>
          <w:rFonts w:hint="default" w:ascii="CESI仿宋-GB2312" w:hAnsi="CESI仿宋-GB2312" w:eastAsia="CESI仿宋-GB2312" w:cs="CESI仿宋-GB2312"/>
          <w:snapToGrid/>
          <w:kern w:val="2"/>
          <w:sz w:val="32"/>
          <w:szCs w:val="32"/>
          <w:lang w:val="en-US" w:eastAsia="zh-CN"/>
        </w:rPr>
        <w:t>行政处罚信息</w:t>
      </w:r>
      <w:r>
        <w:rPr>
          <w:rFonts w:hint="eastAsia" w:ascii="CESI仿宋-GB2312" w:hAnsi="CESI仿宋-GB2312" w:eastAsia="CESI仿宋-GB2312" w:cs="CESI仿宋-GB2312"/>
          <w:snapToGrid/>
          <w:kern w:val="2"/>
          <w:sz w:val="32"/>
          <w:szCs w:val="32"/>
          <w:lang w:val="en-US" w:eastAsia="zh-CN"/>
        </w:rPr>
        <w:t>、</w:t>
      </w:r>
      <w:r>
        <w:rPr>
          <w:rFonts w:hint="default" w:ascii="CESI仿宋-GB2312" w:hAnsi="CESI仿宋-GB2312" w:eastAsia="CESI仿宋-GB2312" w:cs="CESI仿宋-GB2312"/>
          <w:snapToGrid/>
          <w:kern w:val="2"/>
          <w:sz w:val="32"/>
          <w:szCs w:val="32"/>
          <w:lang w:val="en-US" w:eastAsia="zh-CN"/>
        </w:rPr>
        <w:t>列入经营异常名录信息</w:t>
      </w:r>
      <w:r>
        <w:rPr>
          <w:rFonts w:hint="eastAsia" w:ascii="CESI仿宋-GB2312" w:hAnsi="CESI仿宋-GB2312" w:eastAsia="CESI仿宋-GB2312" w:cs="CESI仿宋-GB2312"/>
          <w:snapToGrid/>
          <w:kern w:val="2"/>
          <w:sz w:val="32"/>
          <w:szCs w:val="32"/>
          <w:lang w:val="en-US" w:eastAsia="zh-CN"/>
        </w:rPr>
        <w:t>和</w:t>
      </w:r>
      <w:r>
        <w:rPr>
          <w:rFonts w:hint="default" w:ascii="CESI仿宋-GB2312" w:hAnsi="CESI仿宋-GB2312" w:eastAsia="CESI仿宋-GB2312" w:cs="CESI仿宋-GB2312"/>
          <w:snapToGrid/>
          <w:kern w:val="2"/>
          <w:sz w:val="32"/>
          <w:szCs w:val="32"/>
          <w:lang w:val="en-US" w:eastAsia="zh-CN"/>
        </w:rPr>
        <w:t>列入严重违法失信名单（黑名单）信息</w:t>
      </w:r>
      <w:r>
        <w:rPr>
          <w:rFonts w:hint="eastAsia" w:ascii="CESI仿宋-GB2312" w:hAnsi="CESI仿宋-GB2312" w:eastAsia="CESI仿宋-GB2312" w:cs="CESI仿宋-GB2312"/>
          <w:snapToGrid/>
          <w:kern w:val="2"/>
          <w:sz w:val="32"/>
          <w:szCs w:val="32"/>
          <w:lang w:val="en-US" w:eastAsia="zh-CN"/>
        </w:rPr>
        <w:t>证明。</w:t>
      </w:r>
    </w:p>
    <w:p w14:paraId="7CB95BA0">
      <w:pPr>
        <w:keepNext w:val="0"/>
        <w:keepLines w:val="0"/>
        <w:pageBreakBefore w:val="0"/>
        <w:widowControl w:val="0"/>
        <w:kinsoku/>
        <w:wordWrap/>
        <w:overflowPunct/>
        <w:topLinePunct w:val="0"/>
        <w:autoSpaceDE/>
        <w:autoSpaceDN/>
        <w:bidi w:val="0"/>
        <w:adjustRightInd/>
        <w:snapToGrid/>
        <w:spacing w:line="600" w:lineRule="exact"/>
        <w:ind w:firstLine="645"/>
        <w:jc w:val="both"/>
        <w:textAlignment w:val="auto"/>
        <w:rPr>
          <w:rFonts w:hint="default" w:ascii="CESI仿宋-GB2312" w:hAnsi="CESI仿宋-GB2312" w:eastAsia="CESI仿宋-GB2312" w:cs="CESI仿宋-GB2312"/>
          <w:snapToGrid/>
          <w:kern w:val="2"/>
          <w:sz w:val="32"/>
          <w:szCs w:val="32"/>
          <w:lang w:val="en-US" w:eastAsia="zh-CN"/>
        </w:rPr>
      </w:pPr>
      <w:r>
        <w:rPr>
          <w:rFonts w:hint="eastAsia" w:ascii="CESI仿宋-GB2312" w:hAnsi="CESI仿宋-GB2312" w:eastAsia="CESI仿宋-GB2312" w:cs="CESI仿宋-GB2312"/>
          <w:snapToGrid/>
          <w:kern w:val="2"/>
          <w:sz w:val="32"/>
          <w:szCs w:val="32"/>
          <w:lang w:val="en-US" w:eastAsia="zh-CN"/>
        </w:rPr>
        <w:t>7.企业对申报材料出具的真实性、合法性承诺书，对材料负相关法律责任。</w:t>
      </w:r>
    </w:p>
    <w:p w14:paraId="7F623A1A">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CESI仿宋-GB2312" w:hAnsi="CESI仿宋-GB2312" w:eastAsia="CESI仿宋-GB2312" w:cs="CESI仿宋-GB2312"/>
          <w:snapToGrid/>
          <w:kern w:val="2"/>
          <w:sz w:val="32"/>
          <w:szCs w:val="32"/>
          <w:lang w:val="en-US" w:eastAsia="zh-CN"/>
        </w:rPr>
      </w:pPr>
      <w:r>
        <w:rPr>
          <w:rFonts w:hint="eastAsia" w:ascii="仿宋_GB2312" w:hAnsi="Calibri" w:eastAsia="仿宋_GB2312" w:cs="Times New Roman"/>
          <w:snapToGrid/>
          <w:kern w:val="2"/>
          <w:sz w:val="32"/>
          <w:szCs w:val="32"/>
          <w:lang w:eastAsia="zh-CN"/>
        </w:rPr>
        <w:t xml:space="preserve">    </w:t>
      </w:r>
      <w:r>
        <w:rPr>
          <w:rFonts w:hint="eastAsia" w:ascii="楷体_GB2312" w:hAnsi="楷体_GB2312" w:eastAsia="楷体_GB2312" w:cs="楷体_GB2312"/>
          <w:b/>
          <w:snapToGrid/>
          <w:kern w:val="2"/>
          <w:sz w:val="32"/>
          <w:szCs w:val="32"/>
          <w:lang w:eastAsia="zh-CN"/>
        </w:rPr>
        <w:t>第九条</w:t>
      </w:r>
      <w:r>
        <w:rPr>
          <w:rFonts w:hint="eastAsia" w:ascii="仿宋_GB2312" w:hAnsi="Calibri" w:eastAsia="仿宋_GB2312" w:cs="Times New Roman"/>
          <w:snapToGrid/>
          <w:kern w:val="2"/>
          <w:sz w:val="32"/>
          <w:szCs w:val="32"/>
          <w:lang w:eastAsia="zh-CN"/>
        </w:rPr>
        <w:t xml:space="preserve">  </w:t>
      </w:r>
      <w:r>
        <w:rPr>
          <w:rFonts w:hint="eastAsia" w:ascii="CESI仿宋-GB2312" w:hAnsi="CESI仿宋-GB2312" w:eastAsia="CESI仿宋-GB2312" w:cs="CESI仿宋-GB2312"/>
          <w:snapToGrid/>
          <w:kern w:val="2"/>
          <w:sz w:val="32"/>
          <w:szCs w:val="32"/>
          <w:lang w:val="en-US" w:eastAsia="zh-CN"/>
        </w:rPr>
        <w:t>申报程序：</w:t>
      </w:r>
    </w:p>
    <w:p w14:paraId="58CBB7DE">
      <w:pPr>
        <w:keepNext w:val="0"/>
        <w:keepLines w:val="0"/>
        <w:pageBreakBefore w:val="0"/>
        <w:widowControl w:val="0"/>
        <w:kinsoku/>
        <w:wordWrap/>
        <w:overflowPunct/>
        <w:topLinePunct w:val="0"/>
        <w:autoSpaceDE/>
        <w:autoSpaceDN/>
        <w:bidi w:val="0"/>
        <w:adjustRightInd/>
        <w:snapToGrid/>
        <w:spacing w:line="600" w:lineRule="exact"/>
        <w:ind w:firstLine="645"/>
        <w:jc w:val="both"/>
        <w:textAlignment w:val="auto"/>
        <w:rPr>
          <w:rFonts w:hint="eastAsia" w:ascii="CESI仿宋-GB2312" w:hAnsi="CESI仿宋-GB2312" w:eastAsia="CESI仿宋-GB2312" w:cs="CESI仿宋-GB2312"/>
          <w:snapToGrid/>
          <w:kern w:val="2"/>
          <w:sz w:val="32"/>
          <w:szCs w:val="32"/>
          <w:lang w:val="en-US" w:eastAsia="zh-CN"/>
        </w:rPr>
      </w:pPr>
      <w:r>
        <w:rPr>
          <w:rFonts w:hint="eastAsia" w:ascii="CESI仿宋-GB2312" w:hAnsi="CESI仿宋-GB2312" w:eastAsia="CESI仿宋-GB2312" w:cs="CESI仿宋-GB2312"/>
          <w:snapToGrid/>
          <w:kern w:val="2"/>
          <w:sz w:val="32"/>
          <w:szCs w:val="32"/>
          <w:lang w:val="en-US" w:eastAsia="zh-CN"/>
        </w:rPr>
        <w:t>申报企业自愿向所在旗县区农牧主管部门提出书面申请，旗县区农牧主管部门负责实地审核、对申报材料的真实性进行审查，并充分征求本地相关部门及有关金融机构对申报企业的意见，符合标准条件的正式行文推荐上报包头市推进农牧业产业化领导小组办公室（包头市农牧局）。</w:t>
      </w:r>
    </w:p>
    <w:p w14:paraId="7288764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仿宋_GB2312" w:hAnsi="Calibri" w:eastAsia="仿宋_GB2312" w:cs="Times New Roman"/>
          <w:snapToGrid/>
          <w:kern w:val="2"/>
          <w:sz w:val="32"/>
          <w:szCs w:val="32"/>
          <w:lang w:eastAsia="zh-CN"/>
        </w:rPr>
      </w:pPr>
      <w:r>
        <w:rPr>
          <w:rFonts w:hint="eastAsia" w:ascii="黑体" w:hAnsi="黑体" w:eastAsia="黑体" w:cs="Times New Roman"/>
          <w:snapToGrid/>
          <w:kern w:val="2"/>
          <w:sz w:val="32"/>
          <w:szCs w:val="32"/>
          <w:lang w:eastAsia="zh-CN"/>
        </w:rPr>
        <w:t>第三章 认  定</w:t>
      </w:r>
    </w:p>
    <w:p w14:paraId="21AE4380">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CESI仿宋-GB2312" w:hAnsi="CESI仿宋-GB2312" w:eastAsia="CESI仿宋-GB2312" w:cs="CESI仿宋-GB2312"/>
          <w:snapToGrid/>
          <w:kern w:val="2"/>
          <w:sz w:val="32"/>
          <w:szCs w:val="32"/>
          <w:lang w:val="en-US" w:eastAsia="zh-CN"/>
        </w:rPr>
      </w:pPr>
      <w:r>
        <w:rPr>
          <w:rFonts w:hint="eastAsia" w:ascii="楷体_GB2312" w:hAnsi="楷体_GB2312" w:eastAsia="楷体_GB2312" w:cs="楷体_GB2312"/>
          <w:b/>
          <w:snapToGrid/>
          <w:kern w:val="2"/>
          <w:sz w:val="32"/>
          <w:szCs w:val="32"/>
          <w:lang w:eastAsia="zh-CN"/>
        </w:rPr>
        <w:t>第十条</w:t>
      </w:r>
      <w:r>
        <w:rPr>
          <w:rFonts w:hint="eastAsia" w:ascii="仿宋_GB2312" w:hAnsi="Calibri" w:eastAsia="仿宋_GB2312" w:cs="Times New Roman"/>
          <w:snapToGrid/>
          <w:kern w:val="2"/>
          <w:sz w:val="32"/>
          <w:szCs w:val="32"/>
          <w:lang w:eastAsia="zh-CN"/>
        </w:rPr>
        <w:t xml:space="preserve">  </w:t>
      </w:r>
      <w:r>
        <w:rPr>
          <w:rFonts w:hint="eastAsia" w:ascii="CESI仿宋-GB2312" w:hAnsi="CESI仿宋-GB2312" w:eastAsia="CESI仿宋-GB2312" w:cs="CESI仿宋-GB2312"/>
          <w:snapToGrid/>
          <w:kern w:val="2"/>
          <w:sz w:val="32"/>
          <w:szCs w:val="32"/>
          <w:lang w:val="en-US" w:eastAsia="zh-CN"/>
        </w:rPr>
        <w:t>每2年认定一批龙头企业，龙头企业评审认定工作由包头市农牧局牵头组织实施，包头市农牧局乡村产业发展科负责日常工作。</w:t>
      </w:r>
    </w:p>
    <w:p w14:paraId="3A9A48A3">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CESI仿宋-GB2312" w:hAnsi="CESI仿宋-GB2312" w:eastAsia="CESI仿宋-GB2312" w:cs="CESI仿宋-GB2312"/>
          <w:snapToGrid/>
          <w:kern w:val="2"/>
          <w:sz w:val="32"/>
          <w:szCs w:val="32"/>
          <w:lang w:val="en-US" w:eastAsia="zh-CN"/>
        </w:rPr>
      </w:pPr>
      <w:r>
        <w:rPr>
          <w:rFonts w:hint="eastAsia" w:ascii="楷体_GB2312" w:hAnsi="楷体_GB2312" w:eastAsia="楷体_GB2312" w:cs="楷体_GB2312"/>
          <w:b/>
          <w:snapToGrid/>
          <w:kern w:val="2"/>
          <w:sz w:val="32"/>
          <w:szCs w:val="32"/>
          <w:lang w:eastAsia="zh-CN"/>
        </w:rPr>
        <w:t xml:space="preserve">第十一条 </w:t>
      </w:r>
      <w:r>
        <w:rPr>
          <w:rFonts w:hint="eastAsia" w:ascii="仿宋_GB2312" w:hAnsi="Calibri" w:eastAsia="仿宋_GB2312" w:cs="Times New Roman"/>
          <w:snapToGrid/>
          <w:kern w:val="2"/>
          <w:sz w:val="32"/>
          <w:szCs w:val="32"/>
          <w:lang w:eastAsia="zh-CN"/>
        </w:rPr>
        <w:t xml:space="preserve"> </w:t>
      </w:r>
      <w:r>
        <w:rPr>
          <w:rFonts w:hint="eastAsia" w:ascii="CESI仿宋-GB2312" w:hAnsi="CESI仿宋-GB2312" w:eastAsia="CESI仿宋-GB2312" w:cs="CESI仿宋-GB2312"/>
          <w:snapToGrid/>
          <w:kern w:val="2"/>
          <w:sz w:val="32"/>
          <w:szCs w:val="32"/>
          <w:lang w:val="en-US" w:eastAsia="zh-CN"/>
        </w:rPr>
        <w:t>龙头企业认定程序和办法：</w:t>
      </w:r>
    </w:p>
    <w:p w14:paraId="4C2D98E8">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CESI仿宋-GB2312" w:hAnsi="CESI仿宋-GB2312" w:eastAsia="CESI仿宋-GB2312" w:cs="CESI仿宋-GB2312"/>
          <w:snapToGrid/>
          <w:kern w:val="2"/>
          <w:sz w:val="32"/>
          <w:szCs w:val="32"/>
          <w:lang w:val="en-US" w:eastAsia="zh-CN"/>
        </w:rPr>
      </w:pPr>
      <w:r>
        <w:rPr>
          <w:rFonts w:hint="eastAsia" w:ascii="CESI仿宋-GB2312" w:hAnsi="CESI仿宋-GB2312" w:eastAsia="CESI仿宋-GB2312" w:cs="CESI仿宋-GB2312"/>
          <w:snapToGrid/>
          <w:kern w:val="2"/>
          <w:sz w:val="32"/>
          <w:szCs w:val="32"/>
          <w:lang w:val="en-US" w:eastAsia="zh-CN"/>
        </w:rPr>
        <w:t>1.包头市农牧局按照本办法提出工作方案并下发工作通知，协调有关成员单位组织开展认定工作，旗县区农牧主管部门按通知要求组织申报工作。</w:t>
      </w:r>
    </w:p>
    <w:p w14:paraId="5090E95C">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CESI仿宋-GB2312" w:hAnsi="CESI仿宋-GB2312" w:eastAsia="CESI仿宋-GB2312" w:cs="CESI仿宋-GB2312"/>
          <w:snapToGrid/>
          <w:kern w:val="2"/>
          <w:sz w:val="32"/>
          <w:szCs w:val="32"/>
          <w:lang w:val="en-US" w:eastAsia="zh-CN"/>
        </w:rPr>
      </w:pPr>
      <w:r>
        <w:rPr>
          <w:rFonts w:hint="eastAsia" w:ascii="CESI仿宋-GB2312" w:hAnsi="CESI仿宋-GB2312" w:eastAsia="CESI仿宋-GB2312" w:cs="CESI仿宋-GB2312"/>
          <w:snapToGrid/>
          <w:kern w:val="2"/>
          <w:sz w:val="32"/>
          <w:szCs w:val="32"/>
          <w:lang w:val="en-US" w:eastAsia="zh-CN"/>
        </w:rPr>
        <w:t>2. 包头市农牧局组织领导小组成员单位，采取随机抽查的办法，赴企业实地审核，根据审核情况提出认定建议。</w:t>
      </w:r>
    </w:p>
    <w:p w14:paraId="24D44443">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CESI仿宋-GB2312" w:hAnsi="CESI仿宋-GB2312" w:eastAsia="CESI仿宋-GB2312" w:cs="CESI仿宋-GB2312"/>
          <w:snapToGrid/>
          <w:kern w:val="2"/>
          <w:sz w:val="32"/>
          <w:szCs w:val="32"/>
          <w:lang w:val="en-US" w:eastAsia="zh-CN"/>
        </w:rPr>
      </w:pPr>
      <w:r>
        <w:rPr>
          <w:rFonts w:hint="eastAsia" w:ascii="CESI仿宋-GB2312" w:hAnsi="CESI仿宋-GB2312" w:eastAsia="CESI仿宋-GB2312" w:cs="CESI仿宋-GB2312"/>
          <w:snapToGrid/>
          <w:kern w:val="2"/>
          <w:sz w:val="32"/>
          <w:szCs w:val="32"/>
          <w:lang w:val="en-US" w:eastAsia="zh-CN"/>
        </w:rPr>
        <w:t>3.经包头市推进农牧业产业化领导小组联席会议审核通过并公示无异议的企业，包头市人民政府发文认定为包头市农牧业产业化重点龙头企业，并由包头市推进农牧业产业化领导小组办公室颁发牌匾、证书。</w:t>
      </w:r>
    </w:p>
    <w:p w14:paraId="4E0D4A45">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CESI仿宋-GB2312" w:hAnsi="CESI仿宋-GB2312" w:eastAsia="CESI仿宋-GB2312" w:cs="CESI仿宋-GB2312"/>
          <w:snapToGrid/>
          <w:kern w:val="2"/>
          <w:sz w:val="32"/>
          <w:szCs w:val="32"/>
          <w:lang w:val="en-US" w:eastAsia="zh-CN"/>
        </w:rPr>
      </w:pPr>
      <w:r>
        <w:rPr>
          <w:rFonts w:hint="eastAsia" w:ascii="楷体_GB2312" w:hAnsi="楷体_GB2312" w:eastAsia="楷体_GB2312" w:cs="楷体_GB2312"/>
          <w:b/>
          <w:snapToGrid/>
          <w:kern w:val="2"/>
          <w:sz w:val="32"/>
          <w:szCs w:val="32"/>
          <w:lang w:eastAsia="zh-CN"/>
        </w:rPr>
        <w:t>第十二条</w:t>
      </w:r>
      <w:r>
        <w:rPr>
          <w:rFonts w:hint="eastAsia" w:ascii="仿宋_GB2312" w:hAnsi="Calibri" w:eastAsia="仿宋_GB2312" w:cs="Times New Roman"/>
          <w:snapToGrid/>
          <w:kern w:val="2"/>
          <w:sz w:val="32"/>
          <w:szCs w:val="32"/>
          <w:lang w:eastAsia="zh-CN"/>
        </w:rPr>
        <w:t xml:space="preserve"> </w:t>
      </w:r>
      <w:r>
        <w:rPr>
          <w:rFonts w:hint="eastAsia" w:ascii="仿宋_GB2312" w:hAnsi="Calibri" w:eastAsia="仿宋_GB2312" w:cs="Times New Roman"/>
          <w:snapToGrid/>
          <w:kern w:val="2"/>
          <w:sz w:val="32"/>
          <w:szCs w:val="32"/>
          <w:highlight w:val="none"/>
          <w:lang w:eastAsia="zh-CN"/>
        </w:rPr>
        <w:t xml:space="preserve"> </w:t>
      </w:r>
      <w:r>
        <w:rPr>
          <w:rFonts w:hint="eastAsia" w:ascii="CESI仿宋-GB2312" w:hAnsi="CESI仿宋-GB2312" w:eastAsia="CESI仿宋-GB2312" w:cs="CESI仿宋-GB2312"/>
          <w:snapToGrid/>
          <w:kern w:val="2"/>
          <w:sz w:val="32"/>
          <w:szCs w:val="32"/>
          <w:lang w:val="en-US" w:eastAsia="zh-CN"/>
        </w:rPr>
        <w:t>经认定公布的龙头企业，享受有关优惠政策。龙头企业所属的控股子公司，其直接控股比例超过50%（不含50%）的，且控股子公司以上述经营类型为主业，可享受龙头企业的有关优惠政策。</w:t>
      </w:r>
    </w:p>
    <w:p w14:paraId="07F7C0C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仿宋_GB2312" w:hAnsi="Calibri" w:eastAsia="仿宋_GB2312" w:cs="Times New Roman"/>
          <w:snapToGrid/>
          <w:kern w:val="2"/>
          <w:sz w:val="32"/>
          <w:szCs w:val="32"/>
          <w:lang w:eastAsia="zh-CN"/>
        </w:rPr>
      </w:pPr>
      <w:r>
        <w:rPr>
          <w:rFonts w:hint="eastAsia" w:ascii="黑体" w:hAnsi="黑体" w:eastAsia="黑体" w:cs="Times New Roman"/>
          <w:snapToGrid/>
          <w:kern w:val="2"/>
          <w:sz w:val="32"/>
          <w:szCs w:val="32"/>
          <w:lang w:eastAsia="zh-CN"/>
        </w:rPr>
        <w:t>第四章 运行监测</w:t>
      </w:r>
    </w:p>
    <w:p w14:paraId="6E3B8929">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CESI仿宋-GB2312" w:hAnsi="CESI仿宋-GB2312" w:eastAsia="CESI仿宋-GB2312" w:cs="CESI仿宋-GB2312"/>
          <w:snapToGrid/>
          <w:kern w:val="2"/>
          <w:sz w:val="32"/>
          <w:szCs w:val="32"/>
          <w:lang w:val="en-US" w:eastAsia="zh-CN"/>
        </w:rPr>
      </w:pPr>
      <w:r>
        <w:rPr>
          <w:rFonts w:hint="eastAsia" w:ascii="仿宋_GB2312" w:hAnsi="Calibri" w:eastAsia="仿宋_GB2312" w:cs="Times New Roman"/>
          <w:snapToGrid/>
          <w:kern w:val="2"/>
          <w:sz w:val="32"/>
          <w:szCs w:val="32"/>
          <w:lang w:eastAsia="zh-CN"/>
        </w:rPr>
        <w:t xml:space="preserve">    </w:t>
      </w:r>
      <w:r>
        <w:rPr>
          <w:rFonts w:hint="eastAsia" w:ascii="楷体_GB2312" w:hAnsi="楷体_GB2312" w:eastAsia="楷体_GB2312" w:cs="楷体_GB2312"/>
          <w:b/>
          <w:snapToGrid/>
          <w:kern w:val="2"/>
          <w:sz w:val="32"/>
          <w:szCs w:val="32"/>
          <w:lang w:eastAsia="zh-CN"/>
        </w:rPr>
        <w:t>第十三条</w:t>
      </w:r>
      <w:r>
        <w:rPr>
          <w:rFonts w:hint="eastAsia" w:ascii="仿宋_GB2312" w:hAnsi="Calibri" w:eastAsia="仿宋_GB2312" w:cs="Times New Roman"/>
          <w:snapToGrid/>
          <w:kern w:val="2"/>
          <w:sz w:val="32"/>
          <w:szCs w:val="32"/>
          <w:lang w:eastAsia="zh-CN"/>
        </w:rPr>
        <w:t xml:space="preserve">  </w:t>
      </w:r>
      <w:r>
        <w:rPr>
          <w:rFonts w:hint="eastAsia" w:ascii="CESI仿宋-GB2312" w:hAnsi="CESI仿宋-GB2312" w:eastAsia="CESI仿宋-GB2312" w:cs="CESI仿宋-GB2312"/>
          <w:snapToGrid/>
          <w:kern w:val="2"/>
          <w:sz w:val="32"/>
          <w:szCs w:val="32"/>
          <w:lang w:val="en-US" w:eastAsia="zh-CN"/>
        </w:rPr>
        <w:t>依据认定标准进行龙头企业监测，按照“属地负责、动态监管”原则，建立动态监测管理机制，旗县区要实时掌握龙头企业运行情况，对运行不良且多项指标不达标的企业采取“退一补一”的办法，由旗县区农牧主管部门依照相应程序及时报送包头市农牧局，经包头市推进农牧业产业化领导小组联席会议审定后退补。</w:t>
      </w:r>
    </w:p>
    <w:p w14:paraId="70C1BBE9">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CESI仿宋-GB2312" w:hAnsi="CESI仿宋-GB2312" w:eastAsia="CESI仿宋-GB2312" w:cs="CESI仿宋-GB2312"/>
          <w:snapToGrid/>
          <w:kern w:val="2"/>
          <w:sz w:val="32"/>
          <w:szCs w:val="32"/>
          <w:lang w:val="en-US" w:eastAsia="zh-CN"/>
        </w:rPr>
      </w:pPr>
      <w:r>
        <w:rPr>
          <w:rFonts w:hint="eastAsia" w:ascii="楷体_GB2312" w:hAnsi="楷体_GB2312" w:eastAsia="楷体_GB2312" w:cs="楷体_GB2312"/>
          <w:b/>
          <w:snapToGrid/>
          <w:kern w:val="2"/>
          <w:sz w:val="32"/>
          <w:szCs w:val="32"/>
          <w:lang w:eastAsia="zh-CN"/>
        </w:rPr>
        <w:t xml:space="preserve">第十四条 </w:t>
      </w:r>
      <w:r>
        <w:rPr>
          <w:rFonts w:hint="eastAsia" w:ascii="仿宋_GB2312" w:hAnsi="Calibri" w:eastAsia="仿宋_GB2312" w:cs="Times New Roman"/>
          <w:snapToGrid/>
          <w:kern w:val="2"/>
          <w:sz w:val="32"/>
          <w:szCs w:val="32"/>
          <w:lang w:val="en-US" w:eastAsia="zh-CN"/>
        </w:rPr>
        <w:t xml:space="preserve"> </w:t>
      </w:r>
      <w:r>
        <w:rPr>
          <w:rFonts w:hint="eastAsia" w:ascii="CESI仿宋-GB2312" w:hAnsi="CESI仿宋-GB2312" w:eastAsia="CESI仿宋-GB2312" w:cs="CESI仿宋-GB2312"/>
          <w:snapToGrid/>
          <w:kern w:val="2"/>
          <w:sz w:val="32"/>
          <w:szCs w:val="32"/>
          <w:lang w:val="en-US" w:eastAsia="zh-CN"/>
        </w:rPr>
        <w:t>包头市建立龙头企业常态化监测管理制度，每2年开展1次常态化监测评估。龙头企业按时如实上报企业生产经营2个年度经济运行情况表。</w:t>
      </w:r>
    </w:p>
    <w:p w14:paraId="68BE91E5">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ascii="仿宋_GB2312" w:hAnsi="Calibri" w:eastAsia="仿宋_GB2312" w:cs="Times New Roman"/>
          <w:snapToGrid/>
          <w:kern w:val="2"/>
          <w:sz w:val="32"/>
          <w:szCs w:val="32"/>
          <w:lang w:eastAsia="zh-CN"/>
        </w:rPr>
      </w:pPr>
      <w:r>
        <w:rPr>
          <w:rFonts w:hint="eastAsia" w:ascii="仿宋_GB2312" w:hAnsi="Calibri" w:eastAsia="仿宋_GB2312" w:cs="Times New Roman"/>
          <w:snapToGrid/>
          <w:kern w:val="2"/>
          <w:sz w:val="32"/>
          <w:szCs w:val="32"/>
          <w:lang w:eastAsia="zh-CN"/>
        </w:rPr>
        <w:t xml:space="preserve">    </w:t>
      </w:r>
      <w:r>
        <w:rPr>
          <w:rFonts w:hint="eastAsia" w:ascii="楷体_GB2312" w:hAnsi="楷体_GB2312" w:eastAsia="楷体_GB2312" w:cs="楷体_GB2312"/>
          <w:b/>
          <w:snapToGrid/>
          <w:kern w:val="2"/>
          <w:sz w:val="32"/>
          <w:szCs w:val="32"/>
          <w:lang w:eastAsia="zh-CN"/>
        </w:rPr>
        <w:t>第十五条</w:t>
      </w:r>
      <w:r>
        <w:rPr>
          <w:rFonts w:hint="eastAsia" w:ascii="仿宋_GB2312" w:hAnsi="Calibri" w:eastAsia="仿宋_GB2312" w:cs="Times New Roman"/>
          <w:snapToGrid/>
          <w:kern w:val="2"/>
          <w:sz w:val="32"/>
          <w:szCs w:val="32"/>
          <w:lang w:eastAsia="zh-CN"/>
        </w:rPr>
        <w:t xml:space="preserve"> </w:t>
      </w:r>
      <w:r>
        <w:rPr>
          <w:rFonts w:hint="eastAsia" w:ascii="CESI仿宋-GB2312" w:hAnsi="CESI仿宋-GB2312" w:eastAsia="CESI仿宋-GB2312" w:cs="CESI仿宋-GB2312"/>
          <w:snapToGrid/>
          <w:kern w:val="2"/>
          <w:sz w:val="32"/>
          <w:szCs w:val="32"/>
          <w:lang w:val="en-US" w:eastAsia="zh-CN"/>
        </w:rPr>
        <w:t>龙头企业认定和监测管理成员单位要对企业经济运行情况进行跟踪调查，采取定期统计、情况调度、实地考察、随机抽查、重点督查等方式，及时了解企业基地建设、生产加工、市场销售、带农增收、质量安全等方面情况，帮助企业解决发展中遇到的突出困难，完善相关扶持政策。</w:t>
      </w:r>
    </w:p>
    <w:p w14:paraId="294B2A0E">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仿宋_GB2312" w:hAnsi="Calibri" w:eastAsia="仿宋_GB2312" w:cs="Times New Roman"/>
          <w:snapToGrid/>
          <w:kern w:val="2"/>
          <w:sz w:val="32"/>
          <w:szCs w:val="32"/>
          <w:lang w:eastAsia="zh-CN"/>
        </w:rPr>
      </w:pPr>
      <w:r>
        <w:rPr>
          <w:rFonts w:hint="eastAsia" w:ascii="楷体_GB2312" w:hAnsi="楷体_GB2312" w:eastAsia="楷体_GB2312" w:cs="楷体_GB2312"/>
          <w:b/>
          <w:snapToGrid/>
          <w:kern w:val="2"/>
          <w:sz w:val="32"/>
          <w:szCs w:val="32"/>
          <w:lang w:eastAsia="zh-CN"/>
        </w:rPr>
        <w:t>第十六条</w:t>
      </w:r>
      <w:r>
        <w:rPr>
          <w:rFonts w:hint="eastAsia" w:ascii="仿宋_GB2312" w:hAnsi="Calibri" w:eastAsia="仿宋_GB2312" w:cs="Times New Roman"/>
          <w:snapToGrid/>
          <w:kern w:val="2"/>
          <w:sz w:val="32"/>
          <w:szCs w:val="32"/>
          <w:lang w:eastAsia="zh-CN"/>
        </w:rPr>
        <w:t xml:space="preserve">  </w:t>
      </w:r>
      <w:r>
        <w:rPr>
          <w:rFonts w:hint="eastAsia" w:ascii="CESI仿宋-GB2312" w:hAnsi="CESI仿宋-GB2312" w:eastAsia="CESI仿宋-GB2312" w:cs="CESI仿宋-GB2312"/>
          <w:snapToGrid/>
          <w:kern w:val="2"/>
          <w:sz w:val="32"/>
          <w:szCs w:val="32"/>
          <w:lang w:val="en-US" w:eastAsia="zh-CN"/>
        </w:rPr>
        <w:t>监测评估的具体办法是：</w:t>
      </w:r>
    </w:p>
    <w:p w14:paraId="51B28BC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CESI仿宋-GB2312" w:hAnsi="CESI仿宋-GB2312" w:eastAsia="CESI仿宋-GB2312" w:cs="CESI仿宋-GB2312"/>
          <w:b w:val="0"/>
          <w:bCs w:val="0"/>
          <w:snapToGrid/>
          <w:kern w:val="2"/>
          <w:sz w:val="32"/>
          <w:szCs w:val="32"/>
          <w:lang w:val="en-US" w:eastAsia="zh-CN"/>
        </w:rPr>
      </w:pPr>
      <w:r>
        <w:rPr>
          <w:rFonts w:hint="eastAsia" w:ascii="CESI仿宋-GB2312" w:hAnsi="CESI仿宋-GB2312" w:eastAsia="CESI仿宋-GB2312" w:cs="CESI仿宋-GB2312"/>
          <w:snapToGrid/>
          <w:kern w:val="2"/>
          <w:sz w:val="32"/>
          <w:szCs w:val="32"/>
          <w:lang w:val="en-US" w:eastAsia="zh-CN"/>
        </w:rPr>
        <w:t>1.企业报送材料。龙头企业按照包头市农牧局通知要求</w:t>
      </w:r>
      <w:r>
        <w:rPr>
          <w:rFonts w:hint="eastAsia" w:ascii="CESI仿宋-GB2312" w:hAnsi="CESI仿宋-GB2312" w:eastAsia="CESI仿宋-GB2312" w:cs="CESI仿宋-GB2312"/>
          <w:b w:val="0"/>
          <w:bCs w:val="0"/>
          <w:snapToGrid/>
          <w:kern w:val="2"/>
          <w:sz w:val="32"/>
          <w:szCs w:val="32"/>
          <w:lang w:val="en-US" w:eastAsia="zh-CN"/>
        </w:rPr>
        <w:t>向旗县区农牧主管部门提供监测材料，旗县区农牧主管部门向包头市农牧局报送监测表，作为监测的重要依据。</w:t>
      </w:r>
      <w:r>
        <w:rPr>
          <w:rFonts w:hint="eastAsia" w:ascii="CESI仿宋-GB2312" w:hAnsi="CESI仿宋-GB2312" w:eastAsia="CESI仿宋-GB2312" w:cs="CESI仿宋-GB2312"/>
          <w:b w:val="0"/>
          <w:bCs w:val="0"/>
          <w:snapToGrid/>
          <w:kern w:val="2"/>
          <w:sz w:val="32"/>
          <w:szCs w:val="32"/>
          <w:highlight w:val="none"/>
          <w:lang w:val="en-US" w:eastAsia="zh-CN" w:bidi="ar-SA"/>
        </w:rPr>
        <w:t>各旗县区农牧主管部门可根据地区情况，组织被监测企业报送年度财务报表、收支记录，中国人民银行征信中心企业征信报告或其开户银行出具的本行资信证明，企业纳税情况证明，</w:t>
      </w:r>
      <w:r>
        <w:rPr>
          <w:rFonts w:hint="eastAsia" w:ascii="CESI仿宋-GB2312" w:hAnsi="CESI仿宋-GB2312" w:eastAsia="CESI仿宋-GB2312" w:cs="CESI仿宋-GB2312"/>
          <w:b w:val="0"/>
          <w:bCs w:val="0"/>
          <w:snapToGrid/>
          <w:kern w:val="2"/>
          <w:sz w:val="32"/>
          <w:szCs w:val="32"/>
          <w:highlight w:val="none"/>
          <w:lang w:val="en-US" w:eastAsia="zh-CN" w:bidi="ar-SA"/>
        </w:rPr>
        <w:fldChar w:fldCharType="begin"/>
      </w:r>
      <w:r>
        <w:rPr>
          <w:rFonts w:hint="eastAsia" w:ascii="CESI仿宋-GB2312" w:hAnsi="CESI仿宋-GB2312" w:eastAsia="CESI仿宋-GB2312" w:cs="CESI仿宋-GB2312"/>
          <w:b w:val="0"/>
          <w:bCs w:val="0"/>
          <w:snapToGrid/>
          <w:kern w:val="2"/>
          <w:sz w:val="32"/>
          <w:szCs w:val="32"/>
          <w:highlight w:val="none"/>
          <w:lang w:val="en-US" w:eastAsia="zh-CN" w:bidi="ar-SA"/>
        </w:rPr>
        <w:instrText xml:space="preserve"> HYPERLINK "https://www.baidu.com/link?url=pmvgwpn3E0GtVvw12-fnJ2Tcb1H3rFwTwx9N75saU4HExXr-cE0bxEmOunMWbizJ&amp;wd=&amp;eqid=cafaae2f001797d6000000026209bf2c" \t "/home/nmt/文档\\x/_blank" </w:instrText>
      </w:r>
      <w:r>
        <w:rPr>
          <w:rFonts w:hint="eastAsia" w:ascii="CESI仿宋-GB2312" w:hAnsi="CESI仿宋-GB2312" w:eastAsia="CESI仿宋-GB2312" w:cs="CESI仿宋-GB2312"/>
          <w:b w:val="0"/>
          <w:bCs w:val="0"/>
          <w:snapToGrid/>
          <w:kern w:val="2"/>
          <w:sz w:val="32"/>
          <w:szCs w:val="32"/>
          <w:highlight w:val="none"/>
          <w:lang w:val="en-US" w:eastAsia="zh-CN" w:bidi="ar-SA"/>
        </w:rPr>
        <w:fldChar w:fldCharType="separate"/>
      </w:r>
      <w:r>
        <w:rPr>
          <w:rFonts w:hint="eastAsia" w:ascii="CESI仿宋-GB2312" w:hAnsi="CESI仿宋-GB2312" w:eastAsia="CESI仿宋-GB2312" w:cs="CESI仿宋-GB2312"/>
          <w:b w:val="0"/>
          <w:bCs w:val="0"/>
          <w:snapToGrid/>
          <w:kern w:val="2"/>
          <w:sz w:val="32"/>
          <w:szCs w:val="32"/>
          <w:highlight w:val="none"/>
          <w:lang w:val="en-US" w:eastAsia="zh-CN" w:bidi="ar-SA"/>
        </w:rPr>
        <w:t>国家企业信用信息公示系统</w:t>
      </w:r>
      <w:r>
        <w:rPr>
          <w:rFonts w:hint="eastAsia" w:ascii="CESI仿宋-GB2312" w:hAnsi="CESI仿宋-GB2312" w:eastAsia="CESI仿宋-GB2312" w:cs="CESI仿宋-GB2312"/>
          <w:b w:val="0"/>
          <w:bCs w:val="0"/>
          <w:snapToGrid/>
          <w:kern w:val="2"/>
          <w:sz w:val="32"/>
          <w:szCs w:val="32"/>
          <w:highlight w:val="none"/>
          <w:lang w:val="en-US" w:eastAsia="zh-CN" w:bidi="ar-SA"/>
        </w:rPr>
        <w:fldChar w:fldCharType="end"/>
      </w:r>
      <w:r>
        <w:rPr>
          <w:rFonts w:hint="eastAsia" w:ascii="CESI仿宋-GB2312" w:hAnsi="CESI仿宋-GB2312" w:eastAsia="CESI仿宋-GB2312" w:cs="CESI仿宋-GB2312"/>
          <w:b w:val="0"/>
          <w:bCs w:val="0"/>
          <w:snapToGrid/>
          <w:kern w:val="2"/>
          <w:sz w:val="32"/>
          <w:szCs w:val="32"/>
          <w:highlight w:val="none"/>
          <w:lang w:val="en-US" w:eastAsia="zh-CN" w:bidi="ar-SA"/>
        </w:rPr>
        <w:t>内的行政处罚信息、列入经营异常名录信息和列入严重违法失信名单（黑名单）信息证明，企业的真实性、合法性承诺书等材料，并同时报送电子版扫描件，纸质版监测材料由旗县区农牧主管部门留存。</w:t>
      </w:r>
    </w:p>
    <w:p w14:paraId="61780BE9">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CESI仿宋-GB2312" w:hAnsi="CESI仿宋-GB2312" w:eastAsia="CESI仿宋-GB2312" w:cs="CESI仿宋-GB2312"/>
          <w:snapToGrid/>
          <w:kern w:val="2"/>
          <w:sz w:val="32"/>
          <w:szCs w:val="32"/>
          <w:lang w:val="en-US" w:eastAsia="zh-CN"/>
        </w:rPr>
      </w:pPr>
      <w:r>
        <w:rPr>
          <w:rFonts w:hint="eastAsia" w:ascii="CESI仿宋-GB2312" w:hAnsi="CESI仿宋-GB2312" w:eastAsia="CESI仿宋-GB2312" w:cs="CESI仿宋-GB2312"/>
          <w:snapToGrid/>
          <w:kern w:val="2"/>
          <w:sz w:val="32"/>
          <w:szCs w:val="32"/>
          <w:lang w:val="en-US" w:eastAsia="zh-CN"/>
        </w:rPr>
        <w:t>2.材料审查。旗县区主管部门对企业的监测材料的真实性进行审查并充分征求本地相关部门及有关金融机构的意见，符合监测标准的正式行文上报包头市推进农牧业产业化领导小组办公室。</w:t>
      </w:r>
    </w:p>
    <w:p w14:paraId="296A1071">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CESI仿宋-GB2312" w:hAnsi="CESI仿宋-GB2312" w:eastAsia="CESI仿宋-GB2312" w:cs="CESI仿宋-GB2312"/>
          <w:snapToGrid/>
          <w:kern w:val="2"/>
          <w:sz w:val="32"/>
          <w:szCs w:val="32"/>
          <w:lang w:val="en-US" w:eastAsia="zh-CN"/>
        </w:rPr>
      </w:pPr>
      <w:r>
        <w:rPr>
          <w:rFonts w:hint="eastAsia" w:ascii="CESI仿宋-GB2312" w:hAnsi="CESI仿宋-GB2312" w:eastAsia="CESI仿宋-GB2312" w:cs="CESI仿宋-GB2312"/>
          <w:snapToGrid/>
          <w:kern w:val="2"/>
          <w:sz w:val="32"/>
          <w:szCs w:val="32"/>
          <w:lang w:val="en-US" w:eastAsia="zh-CN"/>
        </w:rPr>
        <w:t>3.领导小组成员单位实地核查、联席会议审核、公示等程序按照认定程序执行。</w:t>
      </w:r>
    </w:p>
    <w:p w14:paraId="115D163D">
      <w:pPr>
        <w:keepNext w:val="0"/>
        <w:keepLines w:val="0"/>
        <w:pageBreakBefore w:val="0"/>
        <w:widowControl w:val="0"/>
        <w:kinsoku/>
        <w:wordWrap/>
        <w:overflowPunct/>
        <w:topLinePunct w:val="0"/>
        <w:autoSpaceDE/>
        <w:autoSpaceDN/>
        <w:bidi w:val="0"/>
        <w:adjustRightInd/>
        <w:snapToGrid/>
        <w:spacing w:line="600" w:lineRule="exact"/>
        <w:ind w:firstLine="645"/>
        <w:jc w:val="both"/>
        <w:textAlignment w:val="auto"/>
        <w:rPr>
          <w:rFonts w:hint="default" w:ascii="CESI仿宋-GB2312" w:hAnsi="CESI仿宋-GB2312" w:eastAsia="CESI仿宋-GB2312" w:cs="CESI仿宋-GB2312"/>
          <w:snapToGrid/>
          <w:kern w:val="2"/>
          <w:sz w:val="32"/>
          <w:szCs w:val="32"/>
          <w:lang w:val="en-US" w:eastAsia="zh-CN"/>
        </w:rPr>
      </w:pPr>
      <w:r>
        <w:rPr>
          <w:rFonts w:hint="eastAsia" w:ascii="楷体_GB2312" w:hAnsi="楷体_GB2312" w:eastAsia="楷体_GB2312" w:cs="楷体_GB2312"/>
          <w:b/>
          <w:snapToGrid/>
          <w:kern w:val="2"/>
          <w:sz w:val="32"/>
          <w:szCs w:val="32"/>
          <w:lang w:eastAsia="zh-CN"/>
        </w:rPr>
        <w:t xml:space="preserve">第十七条 </w:t>
      </w:r>
      <w:r>
        <w:rPr>
          <w:rFonts w:hint="eastAsia" w:ascii="仿宋_GB2312" w:hAnsi="Calibri" w:eastAsia="仿宋_GB2312" w:cs="Times New Roman"/>
          <w:snapToGrid/>
          <w:kern w:val="2"/>
          <w:sz w:val="32"/>
          <w:szCs w:val="32"/>
          <w:lang w:eastAsia="zh-CN"/>
        </w:rPr>
        <w:t xml:space="preserve"> </w:t>
      </w:r>
      <w:r>
        <w:rPr>
          <w:rFonts w:hint="eastAsia" w:ascii="CESI仿宋-GB2312" w:hAnsi="CESI仿宋-GB2312" w:eastAsia="CESI仿宋-GB2312" w:cs="CESI仿宋-GB2312"/>
          <w:snapToGrid/>
          <w:kern w:val="2"/>
          <w:sz w:val="32"/>
          <w:szCs w:val="32"/>
          <w:lang w:val="en-US" w:eastAsia="zh-CN"/>
        </w:rPr>
        <w:t>监测合格的龙头企业，继续保留资格，享受有关优惠政策；监测不合格的取消其龙头企业资格，不再享受有关优惠政策。</w:t>
      </w:r>
    </w:p>
    <w:p w14:paraId="6FF57A0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ascii="黑体" w:hAnsi="黑体" w:eastAsia="黑体" w:cs="Times New Roman"/>
          <w:snapToGrid/>
          <w:kern w:val="2"/>
          <w:sz w:val="32"/>
          <w:szCs w:val="32"/>
          <w:lang w:eastAsia="zh-CN"/>
        </w:rPr>
      </w:pPr>
      <w:r>
        <w:rPr>
          <w:rFonts w:hint="eastAsia" w:ascii="黑体" w:hAnsi="黑体" w:eastAsia="黑体" w:cs="Times New Roman"/>
          <w:snapToGrid/>
          <w:kern w:val="2"/>
          <w:sz w:val="32"/>
          <w:szCs w:val="32"/>
          <w:lang w:eastAsia="zh-CN"/>
        </w:rPr>
        <w:t>第五章 附  则</w:t>
      </w:r>
    </w:p>
    <w:p w14:paraId="12BA4F90">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仿宋_GB2312" w:hAnsi="Times New Roman" w:eastAsia="仿宋_GB2312" w:cs="Times New Roman"/>
          <w:snapToGrid/>
          <w:kern w:val="2"/>
          <w:sz w:val="32"/>
          <w:szCs w:val="32"/>
          <w:highlight w:val="none"/>
          <w:lang w:eastAsia="zh-CN"/>
        </w:rPr>
      </w:pPr>
      <w:r>
        <w:rPr>
          <w:rFonts w:hint="eastAsia" w:ascii="楷体_GB2312" w:hAnsi="楷体_GB2312" w:eastAsia="楷体_GB2312" w:cs="楷体_GB2312"/>
          <w:b/>
          <w:snapToGrid/>
          <w:kern w:val="2"/>
          <w:sz w:val="32"/>
          <w:szCs w:val="32"/>
          <w:lang w:eastAsia="zh-CN"/>
        </w:rPr>
        <w:t>第十八条</w:t>
      </w:r>
      <w:r>
        <w:rPr>
          <w:rFonts w:hint="eastAsia" w:ascii="仿宋_GB2312" w:hAnsi="Calibri" w:eastAsia="仿宋_GB2312" w:cs="Times New Roman"/>
          <w:b/>
          <w:snapToGrid/>
          <w:kern w:val="2"/>
          <w:sz w:val="32"/>
          <w:szCs w:val="32"/>
          <w:lang w:val="en-US" w:eastAsia="zh-CN"/>
        </w:rPr>
        <w:t xml:space="preserve">  </w:t>
      </w:r>
      <w:r>
        <w:rPr>
          <w:rFonts w:hint="eastAsia" w:ascii="CESI仿宋-GB2312" w:hAnsi="CESI仿宋-GB2312" w:eastAsia="CESI仿宋-GB2312" w:cs="CESI仿宋-GB2312"/>
          <w:snapToGrid/>
          <w:kern w:val="2"/>
          <w:sz w:val="32"/>
          <w:szCs w:val="32"/>
          <w:lang w:val="en-US" w:eastAsia="zh-CN"/>
        </w:rPr>
        <w:t xml:space="preserve">在“包头市农牧局门户网站”发布监测合格和认定的龙头企业名单。 </w:t>
      </w:r>
    </w:p>
    <w:p w14:paraId="3B60D618">
      <w:pPr>
        <w:keepNext w:val="0"/>
        <w:keepLines w:val="0"/>
        <w:pageBreakBefore w:val="0"/>
        <w:widowControl w:val="0"/>
        <w:kinsoku/>
        <w:wordWrap/>
        <w:overflowPunct/>
        <w:topLinePunct w:val="0"/>
        <w:autoSpaceDE/>
        <w:autoSpaceDN/>
        <w:bidi w:val="0"/>
        <w:adjustRightInd/>
        <w:snapToGrid/>
        <w:spacing w:line="550" w:lineRule="exact"/>
        <w:ind w:firstLine="640"/>
        <w:jc w:val="both"/>
        <w:textAlignment w:val="auto"/>
        <w:rPr>
          <w:rFonts w:hint="eastAsia" w:ascii="CESI仿宋-GB2312" w:hAnsi="CESI仿宋-GB2312" w:eastAsia="CESI仿宋-GB2312" w:cs="CESI仿宋-GB2312"/>
          <w:snapToGrid/>
          <w:kern w:val="2"/>
          <w:sz w:val="32"/>
          <w:szCs w:val="32"/>
          <w:lang w:val="en-US" w:eastAsia="zh-CN"/>
        </w:rPr>
      </w:pPr>
      <w:r>
        <w:rPr>
          <w:rFonts w:hint="eastAsia" w:ascii="楷体_GB2312" w:hAnsi="楷体_GB2312" w:eastAsia="楷体_GB2312" w:cs="楷体_GB2312"/>
          <w:b/>
          <w:snapToGrid/>
          <w:kern w:val="2"/>
          <w:sz w:val="32"/>
          <w:szCs w:val="32"/>
          <w:lang w:eastAsia="zh-CN"/>
        </w:rPr>
        <w:t>第十九条</w:t>
      </w:r>
      <w:r>
        <w:rPr>
          <w:rFonts w:hint="eastAsia" w:ascii="仿宋_GB2312" w:hAnsi="Calibri" w:eastAsia="仿宋_GB2312" w:cs="Times New Roman"/>
          <w:b/>
          <w:snapToGrid/>
          <w:kern w:val="2"/>
          <w:sz w:val="32"/>
          <w:szCs w:val="32"/>
          <w:lang w:val="en-US" w:eastAsia="zh-CN"/>
        </w:rPr>
        <w:t xml:space="preserve">  </w:t>
      </w:r>
      <w:r>
        <w:rPr>
          <w:rFonts w:hint="eastAsia" w:ascii="CESI仿宋-GB2312" w:hAnsi="CESI仿宋-GB2312" w:eastAsia="CESI仿宋-GB2312" w:cs="CESI仿宋-GB2312"/>
          <w:snapToGrid/>
          <w:kern w:val="2"/>
          <w:sz w:val="32"/>
          <w:szCs w:val="32"/>
          <w:lang w:val="en-US" w:eastAsia="zh-CN"/>
        </w:rPr>
        <w:t>龙头企业及申报认定企业应按要求如实提供有关材料，不得弄虚作假。如存在舞弊行为，一经查实，已经认定的取消其龙头企业资格，未经认定的取消其申报资格，3年内不得再行申报。对发生重大质量安全事件、生产安全事故、上市违规操作、坑农害农等违法违规行为，取消其龙头企业资格，3年内不得再行申报。</w:t>
      </w:r>
    </w:p>
    <w:p w14:paraId="4945944D">
      <w:pPr>
        <w:keepNext w:val="0"/>
        <w:keepLines w:val="0"/>
        <w:pageBreakBefore w:val="0"/>
        <w:widowControl w:val="0"/>
        <w:kinsoku/>
        <w:wordWrap/>
        <w:overflowPunct/>
        <w:topLinePunct w:val="0"/>
        <w:autoSpaceDE/>
        <w:autoSpaceDN/>
        <w:bidi w:val="0"/>
        <w:adjustRightInd/>
        <w:snapToGrid/>
        <w:spacing w:line="550" w:lineRule="exact"/>
        <w:jc w:val="both"/>
        <w:textAlignment w:val="auto"/>
        <w:rPr>
          <w:rFonts w:hint="eastAsia" w:ascii="CESI仿宋-GB2312" w:hAnsi="CESI仿宋-GB2312" w:eastAsia="CESI仿宋-GB2312" w:cs="CESI仿宋-GB2312"/>
          <w:snapToGrid/>
          <w:kern w:val="2"/>
          <w:sz w:val="32"/>
          <w:szCs w:val="32"/>
          <w:lang w:val="en-US" w:eastAsia="zh-CN"/>
        </w:rPr>
      </w:pPr>
      <w:r>
        <w:rPr>
          <w:rFonts w:hint="eastAsia" w:ascii="仿宋_GB2312" w:hAnsi="Calibri" w:eastAsia="仿宋_GB2312" w:cs="Times New Roman"/>
          <w:snapToGrid/>
          <w:kern w:val="2"/>
          <w:sz w:val="32"/>
          <w:szCs w:val="32"/>
          <w:lang w:eastAsia="zh-CN"/>
        </w:rPr>
        <w:t xml:space="preserve">    </w:t>
      </w:r>
      <w:r>
        <w:rPr>
          <w:rFonts w:hint="eastAsia" w:ascii="楷体_GB2312" w:hAnsi="楷体_GB2312" w:eastAsia="楷体_GB2312" w:cs="楷体_GB2312"/>
          <w:b/>
          <w:snapToGrid/>
          <w:kern w:val="2"/>
          <w:sz w:val="32"/>
          <w:szCs w:val="32"/>
          <w:lang w:eastAsia="zh-CN"/>
        </w:rPr>
        <w:t>第二十条</w:t>
      </w:r>
      <w:r>
        <w:rPr>
          <w:rFonts w:hint="eastAsia" w:ascii="仿宋_GB2312" w:hAnsi="Calibri" w:eastAsia="仿宋_GB2312" w:cs="Times New Roman"/>
          <w:snapToGrid/>
          <w:kern w:val="2"/>
          <w:sz w:val="32"/>
          <w:szCs w:val="32"/>
          <w:lang w:eastAsia="zh-CN"/>
        </w:rPr>
        <w:t xml:space="preserve">  </w:t>
      </w:r>
      <w:r>
        <w:rPr>
          <w:rFonts w:hint="eastAsia" w:ascii="CESI仿宋-GB2312" w:hAnsi="CESI仿宋-GB2312" w:eastAsia="CESI仿宋-GB2312" w:cs="CESI仿宋-GB2312"/>
          <w:snapToGrid/>
          <w:kern w:val="2"/>
          <w:sz w:val="32"/>
          <w:szCs w:val="32"/>
          <w:lang w:val="en-US" w:eastAsia="zh-CN"/>
        </w:rPr>
        <w:t>龙头企业要及时上报企业经济运行情况等监测材料，并按照包头市农牧局要求登录自治区产业化统计系统按时填报更新企业季度和年度运行数据。对不认真、不及时上报监测材料和更新数据的企业视情给予警告整改，对拒绝上报监测材料或不接受实地审核的企业取消龙头企业资格。</w:t>
      </w:r>
    </w:p>
    <w:p w14:paraId="5FDA3EB8">
      <w:pPr>
        <w:keepNext w:val="0"/>
        <w:keepLines w:val="0"/>
        <w:pageBreakBefore w:val="0"/>
        <w:widowControl w:val="0"/>
        <w:kinsoku/>
        <w:wordWrap/>
        <w:overflowPunct/>
        <w:topLinePunct w:val="0"/>
        <w:autoSpaceDE/>
        <w:autoSpaceDN/>
        <w:bidi w:val="0"/>
        <w:adjustRightInd/>
        <w:snapToGrid/>
        <w:spacing w:line="550" w:lineRule="exact"/>
        <w:jc w:val="both"/>
        <w:textAlignment w:val="auto"/>
        <w:rPr>
          <w:rFonts w:hint="eastAsia" w:ascii="CESI仿宋-GB2312" w:hAnsi="CESI仿宋-GB2312" w:eastAsia="CESI仿宋-GB2312" w:cs="CESI仿宋-GB2312"/>
          <w:snapToGrid/>
          <w:kern w:val="2"/>
          <w:sz w:val="32"/>
          <w:szCs w:val="32"/>
          <w:lang w:val="en-US" w:eastAsia="zh-CN"/>
        </w:rPr>
      </w:pPr>
      <w:r>
        <w:rPr>
          <w:rFonts w:hint="eastAsia" w:ascii="仿宋_GB2312" w:hAnsi="Calibri" w:eastAsia="仿宋_GB2312" w:cs="Times New Roman"/>
          <w:snapToGrid/>
          <w:kern w:val="2"/>
          <w:sz w:val="32"/>
          <w:szCs w:val="32"/>
          <w:lang w:eastAsia="zh-CN"/>
        </w:rPr>
        <w:t xml:space="preserve">    </w:t>
      </w:r>
      <w:r>
        <w:rPr>
          <w:rFonts w:hint="eastAsia" w:ascii="楷体_GB2312" w:hAnsi="楷体_GB2312" w:eastAsia="楷体_GB2312" w:cs="楷体_GB2312"/>
          <w:b/>
          <w:snapToGrid/>
          <w:kern w:val="2"/>
          <w:sz w:val="32"/>
          <w:szCs w:val="32"/>
          <w:lang w:eastAsia="zh-CN"/>
        </w:rPr>
        <w:t>第二十一条</w:t>
      </w:r>
      <w:r>
        <w:rPr>
          <w:rFonts w:hint="eastAsia" w:ascii="仿宋_GB2312" w:hAnsi="Calibri" w:eastAsia="仿宋_GB2312" w:cs="Times New Roman"/>
          <w:snapToGrid/>
          <w:kern w:val="2"/>
          <w:sz w:val="32"/>
          <w:szCs w:val="32"/>
          <w:lang w:eastAsia="zh-CN"/>
        </w:rPr>
        <w:t xml:space="preserve">  </w:t>
      </w:r>
      <w:r>
        <w:rPr>
          <w:rFonts w:hint="eastAsia" w:ascii="CESI仿宋-GB2312" w:hAnsi="CESI仿宋-GB2312" w:eastAsia="CESI仿宋-GB2312" w:cs="CESI仿宋-GB2312"/>
          <w:snapToGrid/>
          <w:kern w:val="2"/>
          <w:sz w:val="32"/>
          <w:szCs w:val="32"/>
          <w:lang w:val="en-US" w:eastAsia="zh-CN"/>
        </w:rPr>
        <w:t>对在申报、认定、监测评审工作中，不坚持公开、公平、公正原则，存在徇私舞弊行为的工作人员，按有关党纪政纪规定予以严肃查处。</w:t>
      </w:r>
    </w:p>
    <w:p w14:paraId="0F0ABB5E">
      <w:pPr>
        <w:keepNext w:val="0"/>
        <w:keepLines w:val="0"/>
        <w:pageBreakBefore w:val="0"/>
        <w:widowControl w:val="0"/>
        <w:kinsoku/>
        <w:wordWrap/>
        <w:overflowPunct/>
        <w:topLinePunct w:val="0"/>
        <w:autoSpaceDE/>
        <w:autoSpaceDN/>
        <w:bidi w:val="0"/>
        <w:adjustRightInd/>
        <w:snapToGrid/>
        <w:spacing w:line="550" w:lineRule="exact"/>
        <w:jc w:val="both"/>
        <w:textAlignment w:val="auto"/>
        <w:rPr>
          <w:rFonts w:hint="eastAsia" w:ascii="CESI仿宋-GB2312" w:hAnsi="CESI仿宋-GB2312" w:eastAsia="CESI仿宋-GB2312" w:cs="CESI仿宋-GB2312"/>
          <w:snapToGrid/>
          <w:kern w:val="2"/>
          <w:sz w:val="32"/>
          <w:szCs w:val="32"/>
          <w:lang w:val="en-US" w:eastAsia="zh-CN"/>
        </w:rPr>
      </w:pPr>
      <w:r>
        <w:rPr>
          <w:rFonts w:hint="eastAsia" w:ascii="仿宋_GB2312" w:hAnsi="Calibri" w:eastAsia="仿宋_GB2312" w:cs="Times New Roman"/>
          <w:snapToGrid/>
          <w:kern w:val="2"/>
          <w:sz w:val="32"/>
          <w:szCs w:val="32"/>
          <w:lang w:eastAsia="zh-CN"/>
        </w:rPr>
        <w:t xml:space="preserve">    </w:t>
      </w:r>
      <w:r>
        <w:rPr>
          <w:rFonts w:hint="eastAsia" w:ascii="楷体_GB2312" w:hAnsi="楷体_GB2312" w:eastAsia="楷体_GB2312" w:cs="楷体_GB2312"/>
          <w:b/>
          <w:snapToGrid/>
          <w:kern w:val="2"/>
          <w:sz w:val="32"/>
          <w:szCs w:val="32"/>
          <w:lang w:eastAsia="zh-CN"/>
        </w:rPr>
        <w:t xml:space="preserve">第二十二条 </w:t>
      </w:r>
      <w:r>
        <w:rPr>
          <w:rFonts w:hint="eastAsia" w:ascii="仿宋_GB2312" w:hAnsi="Calibri" w:eastAsia="仿宋_GB2312" w:cs="Times New Roman"/>
          <w:snapToGrid/>
          <w:kern w:val="2"/>
          <w:sz w:val="32"/>
          <w:szCs w:val="32"/>
          <w:lang w:eastAsia="zh-CN"/>
        </w:rPr>
        <w:t xml:space="preserve"> </w:t>
      </w:r>
      <w:r>
        <w:rPr>
          <w:rFonts w:hint="eastAsia" w:ascii="CESI仿宋-GB2312" w:hAnsi="CESI仿宋-GB2312" w:eastAsia="CESI仿宋-GB2312" w:cs="CESI仿宋-GB2312"/>
          <w:snapToGrid/>
          <w:kern w:val="2"/>
          <w:sz w:val="32"/>
          <w:szCs w:val="32"/>
          <w:lang w:val="en-US" w:eastAsia="zh-CN"/>
        </w:rPr>
        <w:t>龙头企业更改企业名称，应出具市场主体登记注册部门的营业执照等更名材料，由旗县区农牧主管部门提出审查意见，报包头市农牧局审核确认，并将企业更名情况通报包头市推进农牧业产业化领导小组成员单位。</w:t>
      </w:r>
    </w:p>
    <w:p w14:paraId="0FDDE352">
      <w:pPr>
        <w:keepNext w:val="0"/>
        <w:keepLines w:val="0"/>
        <w:pageBreakBefore w:val="0"/>
        <w:widowControl w:val="0"/>
        <w:kinsoku/>
        <w:wordWrap/>
        <w:overflowPunct/>
        <w:topLinePunct w:val="0"/>
        <w:autoSpaceDE/>
        <w:autoSpaceDN/>
        <w:bidi w:val="0"/>
        <w:adjustRightInd/>
        <w:snapToGrid/>
        <w:spacing w:line="550" w:lineRule="exact"/>
        <w:jc w:val="both"/>
        <w:textAlignment w:val="auto"/>
        <w:rPr>
          <w:rFonts w:hint="eastAsia" w:ascii="CESI仿宋-GB2312" w:hAnsi="CESI仿宋-GB2312" w:eastAsia="CESI仿宋-GB2312" w:cs="CESI仿宋-GB2312"/>
          <w:snapToGrid/>
          <w:kern w:val="2"/>
          <w:sz w:val="32"/>
          <w:szCs w:val="32"/>
          <w:lang w:val="en-US" w:eastAsia="zh-CN"/>
        </w:rPr>
      </w:pPr>
      <w:r>
        <w:rPr>
          <w:rFonts w:hint="eastAsia" w:ascii="仿宋_GB2312" w:hAnsi="Calibri" w:eastAsia="仿宋_GB2312" w:cs="Times New Roman"/>
          <w:snapToGrid/>
          <w:kern w:val="2"/>
          <w:sz w:val="32"/>
          <w:szCs w:val="32"/>
          <w:lang w:eastAsia="zh-CN"/>
        </w:rPr>
        <w:t xml:space="preserve">    </w:t>
      </w:r>
      <w:r>
        <w:rPr>
          <w:rFonts w:hint="eastAsia" w:ascii="楷体_GB2312" w:hAnsi="楷体_GB2312" w:eastAsia="楷体_GB2312" w:cs="楷体_GB2312"/>
          <w:b/>
          <w:snapToGrid/>
          <w:kern w:val="2"/>
          <w:sz w:val="32"/>
          <w:szCs w:val="32"/>
          <w:lang w:eastAsia="zh-CN"/>
        </w:rPr>
        <w:t xml:space="preserve">第二十三条 </w:t>
      </w:r>
      <w:r>
        <w:rPr>
          <w:rFonts w:hint="eastAsia" w:ascii="仿宋_GB2312" w:hAnsi="Calibri" w:eastAsia="仿宋_GB2312" w:cs="Times New Roman"/>
          <w:snapToGrid/>
          <w:kern w:val="2"/>
          <w:sz w:val="32"/>
          <w:szCs w:val="32"/>
          <w:lang w:eastAsia="zh-CN"/>
        </w:rPr>
        <w:t xml:space="preserve"> </w:t>
      </w:r>
      <w:r>
        <w:rPr>
          <w:rFonts w:hint="eastAsia" w:ascii="CESI仿宋-GB2312" w:hAnsi="CESI仿宋-GB2312" w:eastAsia="CESI仿宋-GB2312" w:cs="CESI仿宋-GB2312"/>
          <w:snapToGrid/>
          <w:kern w:val="2"/>
          <w:sz w:val="32"/>
          <w:szCs w:val="32"/>
          <w:lang w:val="en-US" w:eastAsia="zh-CN"/>
        </w:rPr>
        <w:t>旗县区可参照本办法，制定本地区农牧业产业化重点龙头企业管理办法。</w:t>
      </w:r>
    </w:p>
    <w:p w14:paraId="327765DA">
      <w:pPr>
        <w:keepNext w:val="0"/>
        <w:keepLines w:val="0"/>
        <w:pageBreakBefore w:val="0"/>
        <w:widowControl w:val="0"/>
        <w:kinsoku/>
        <w:wordWrap/>
        <w:overflowPunct/>
        <w:topLinePunct w:val="0"/>
        <w:autoSpaceDE/>
        <w:autoSpaceDN/>
        <w:bidi w:val="0"/>
        <w:adjustRightInd/>
        <w:snapToGrid/>
        <w:spacing w:line="550" w:lineRule="exact"/>
        <w:jc w:val="both"/>
        <w:textAlignment w:val="auto"/>
        <w:rPr>
          <w:rFonts w:ascii="仿宋_GB2312" w:hAnsi="Calibri" w:eastAsia="仿宋_GB2312" w:cs="Times New Roman"/>
          <w:snapToGrid/>
          <w:kern w:val="2"/>
          <w:sz w:val="32"/>
          <w:szCs w:val="32"/>
          <w:lang w:eastAsia="zh-CN"/>
        </w:rPr>
      </w:pPr>
      <w:r>
        <w:rPr>
          <w:rFonts w:hint="eastAsia" w:ascii="仿宋_GB2312" w:hAnsi="Calibri" w:eastAsia="仿宋_GB2312" w:cs="Times New Roman"/>
          <w:snapToGrid/>
          <w:kern w:val="2"/>
          <w:sz w:val="32"/>
          <w:szCs w:val="32"/>
          <w:lang w:eastAsia="zh-CN"/>
        </w:rPr>
        <w:t xml:space="preserve">    </w:t>
      </w:r>
      <w:r>
        <w:rPr>
          <w:rFonts w:hint="eastAsia" w:ascii="楷体_GB2312" w:hAnsi="楷体_GB2312" w:eastAsia="楷体_GB2312" w:cs="楷体_GB2312"/>
          <w:b/>
          <w:snapToGrid/>
          <w:kern w:val="2"/>
          <w:sz w:val="32"/>
          <w:szCs w:val="32"/>
          <w:lang w:eastAsia="zh-CN"/>
        </w:rPr>
        <w:t>第二十四条</w:t>
      </w:r>
      <w:r>
        <w:rPr>
          <w:rFonts w:hint="eastAsia" w:ascii="仿宋_GB2312" w:hAnsi="Calibri" w:eastAsia="仿宋_GB2312" w:cs="Times New Roman"/>
          <w:snapToGrid/>
          <w:kern w:val="2"/>
          <w:sz w:val="32"/>
          <w:szCs w:val="32"/>
          <w:lang w:eastAsia="zh-CN"/>
        </w:rPr>
        <w:t xml:space="preserve">  </w:t>
      </w:r>
      <w:r>
        <w:rPr>
          <w:rFonts w:hint="eastAsia" w:ascii="CESI仿宋-GB2312" w:hAnsi="CESI仿宋-GB2312" w:eastAsia="CESI仿宋-GB2312" w:cs="CESI仿宋-GB2312"/>
          <w:snapToGrid/>
          <w:kern w:val="2"/>
          <w:sz w:val="32"/>
          <w:szCs w:val="32"/>
          <w:lang w:val="en-US" w:eastAsia="zh-CN"/>
        </w:rPr>
        <w:t>本办法由包头市农牧局负责解释。</w:t>
      </w:r>
    </w:p>
    <w:p w14:paraId="2324F447">
      <w:pPr>
        <w:keepNext w:val="0"/>
        <w:keepLines w:val="0"/>
        <w:pageBreakBefore w:val="0"/>
        <w:widowControl w:val="0"/>
        <w:kinsoku/>
        <w:wordWrap/>
        <w:overflowPunct/>
        <w:topLinePunct w:val="0"/>
        <w:autoSpaceDE/>
        <w:autoSpaceDN/>
        <w:bidi w:val="0"/>
        <w:adjustRightInd/>
        <w:snapToGrid/>
        <w:spacing w:line="550" w:lineRule="exact"/>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Calibri" w:eastAsia="仿宋_GB2312" w:cs="Times New Roman"/>
          <w:snapToGrid/>
          <w:kern w:val="2"/>
          <w:sz w:val="32"/>
          <w:szCs w:val="32"/>
          <w:lang w:eastAsia="zh-CN"/>
        </w:rPr>
        <w:t xml:space="preserve">   </w:t>
      </w:r>
      <w:r>
        <w:rPr>
          <w:rFonts w:hint="eastAsia" w:ascii="仿宋_GB2312" w:hAnsi="Calibri" w:eastAsia="仿宋_GB2312" w:cs="Times New Roman"/>
          <w:snapToGrid/>
          <w:color w:val="FF0000"/>
          <w:kern w:val="2"/>
          <w:sz w:val="32"/>
          <w:szCs w:val="32"/>
          <w:lang w:eastAsia="zh-CN"/>
        </w:rPr>
        <w:t xml:space="preserve"> </w:t>
      </w:r>
      <w:r>
        <w:rPr>
          <w:rFonts w:hint="eastAsia" w:ascii="楷体_GB2312" w:hAnsi="楷体_GB2312" w:eastAsia="楷体_GB2312" w:cs="楷体_GB2312"/>
          <w:b/>
          <w:snapToGrid/>
          <w:kern w:val="2"/>
          <w:sz w:val="32"/>
          <w:szCs w:val="32"/>
          <w:lang w:eastAsia="zh-CN"/>
        </w:rPr>
        <w:t>第二十五条</w:t>
      </w:r>
      <w:r>
        <w:rPr>
          <w:rFonts w:hint="eastAsia" w:ascii="仿宋_GB2312" w:hAnsi="Calibri" w:eastAsia="仿宋_GB2312" w:cs="Times New Roman"/>
          <w:snapToGrid/>
          <w:color w:val="FF0000"/>
          <w:kern w:val="2"/>
          <w:sz w:val="32"/>
          <w:szCs w:val="32"/>
          <w:lang w:eastAsia="zh-CN"/>
        </w:rPr>
        <w:t xml:space="preserve">  </w:t>
      </w:r>
      <w:r>
        <w:rPr>
          <w:rFonts w:hint="eastAsia" w:ascii="CESI仿宋-GB2312" w:hAnsi="CESI仿宋-GB2312" w:eastAsia="CESI仿宋-GB2312" w:cs="CESI仿宋-GB2312"/>
          <w:snapToGrid/>
          <w:kern w:val="2"/>
          <w:sz w:val="32"/>
          <w:szCs w:val="32"/>
          <w:lang w:val="en-US" w:eastAsia="zh-CN"/>
        </w:rPr>
        <w:t>本办法自印发之日起施行，《关于印发&lt;包头市农牧业产业化经营重点龙头企</w:t>
      </w:r>
      <w:r>
        <w:rPr>
          <w:rFonts w:hint="eastAsia" w:ascii="CESI仿宋-GB2312" w:hAnsi="CESI仿宋-GB2312" w:eastAsia="CESI仿宋-GB2312" w:cs="CESI仿宋-GB2312"/>
          <w:snapToGrid/>
          <w:spacing w:val="-6"/>
          <w:kern w:val="2"/>
          <w:sz w:val="32"/>
          <w:szCs w:val="32"/>
          <w:lang w:val="en-US" w:eastAsia="zh-CN"/>
        </w:rPr>
        <w:t>业认定管理办法&gt;的通知》（包农发〔2005〕125号）同时废止。</w:t>
      </w:r>
    </w:p>
    <w:p w14:paraId="46CF14DB">
      <w:pPr>
        <w:spacing w:before="179" w:line="284" w:lineRule="auto"/>
        <w:ind w:right="18" w:firstLine="664"/>
        <w:rPr>
          <w:rFonts w:ascii="FangSong" w:hAnsi="FangSong" w:eastAsia="FangSong" w:cs="FangSong"/>
          <w:sz w:val="32"/>
          <w:szCs w:val="32"/>
        </w:rPr>
      </w:pP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FangSong">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黑体">
    <w:altName w:val="方正黑体_GBK"/>
    <w:panose1 w:val="02010609060101010101"/>
    <w:charset w:val="86"/>
    <w:family w:val="auto"/>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KaiTi">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CESI仿宋-GB2312">
    <w:panose1 w:val="02000500000000000000"/>
    <w:charset w:val="86"/>
    <w:family w:val="auto"/>
    <w:pitch w:val="default"/>
    <w:sig w:usb0="800002AF" w:usb1="084F6CF8" w:usb2="00000010" w:usb3="00000000" w:csb0="0004000F" w:csb1="00000000"/>
  </w:font>
  <w:font w:name="楷体_GB2312">
    <w:altName w:val="方正楷体_GBK"/>
    <w:panose1 w:val="02010609030101010101"/>
    <w:charset w:val="00"/>
    <w:family w:val="auto"/>
    <w:pitch w:val="default"/>
    <w:sig w:usb0="00000000" w:usb1="00000000" w:usb2="00000000" w:usb3="00000000" w:csb0="00040000" w:csb1="00000000"/>
  </w:font>
  <w:font w:name="仿宋_GB2312">
    <w:altName w:val="方正仿宋_GBK"/>
    <w:panose1 w:val="02010609030101010101"/>
    <w:charset w:val="00"/>
    <w:family w:val="auto"/>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6BEC8D7"/>
    <w:rsid w:val="39FFA147"/>
    <w:rsid w:val="EEAAC2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Arial" w:hAnsi="Arial" w:eastAsia="Arial" w:cs="Arial"/>
      <w:sz w:val="21"/>
      <w:szCs w:val="21"/>
      <w:lang w:val="en-US" w:eastAsia="en-US" w:bidi="ar-SA"/>
    </w:rPr>
  </w:style>
  <w:style w:type="paragraph" w:styleId="3">
    <w:name w:val="Body Text 2"/>
    <w:qFormat/>
    <w:uiPriority w:val="0"/>
    <w:pPr>
      <w:widowControl w:val="0"/>
      <w:spacing w:after="120" w:line="480" w:lineRule="auto"/>
      <w:jc w:val="both"/>
    </w:pPr>
    <w:rPr>
      <w:rFonts w:ascii="Calibri" w:hAnsi="Calibri" w:eastAsia="宋体" w:cs="宋体"/>
      <w:kern w:val="2"/>
      <w:sz w:val="21"/>
      <w:szCs w:val="24"/>
      <w:lang w:val="en-US" w:eastAsia="zh-CN" w:bidi="ar-SA"/>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TotalTime>3</TotalTime>
  <ScaleCrop>false</ScaleCrop>
  <LinksUpToDate>false</LinksUpToDate>
  <Application>WPS Office_12.1.2.24730_F1E327BC-269C-435d-A152-05C5408002CA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2026-05-21T00:48:00Z</dcterms:created>
  <dc:creator>uos</dc:creator>
  <cp:lastModifiedBy>阳</cp:lastModifiedBy>
  <dcterms:modified xsi:type="dcterms:W3CDTF">2026-05-20T17:15:05Z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2026-05-20T16:48:21Z</vt:filetime>
  </property>
  <property fmtid="{D5CDD505-2E9C-101B-9397-08002B2CF9AE}" pid="4" name="UsrData">
    <vt:lpwstr>6a0d75507fe946001fc2ef9fwl</vt:lpwstr>
  </property>
  <property fmtid="{D5CDD505-2E9C-101B-9397-08002B2CF9AE}" pid="5" name="KSOProductBuildVer">
    <vt:lpwstr>2052-12.1.2.24730</vt:lpwstr>
  </property>
  <property fmtid="{D5CDD505-2E9C-101B-9397-08002B2CF9AE}" pid="6" name="ICV">
    <vt:lpwstr>45449FF03ACBD7E48C760D6AE930B2CE_42</vt:lpwstr>
  </property>
</Properties>
</file>